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570F0E"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bookmarkStart w:id="0" w:name="_GoBack" w:colFirst="1" w:colLast="1"/>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3D963333" w:rsidR="00D72741" w:rsidRPr="006F56D7" w:rsidRDefault="008F7C59" w:rsidP="007F6D7A">
            <w:pPr>
              <w:spacing w:before="280"/>
              <w:jc w:val="center"/>
              <w:rPr>
                <w:rFonts w:asciiTheme="majorBidi" w:hAnsiTheme="majorBidi" w:cstheme="majorBidi"/>
              </w:rPr>
            </w:pPr>
            <w:proofErr w:type="spellStart"/>
            <w:r w:rsidRPr="008F7C59">
              <w:rPr>
                <w:rFonts w:asciiTheme="majorBidi" w:hAnsiTheme="majorBidi" w:cstheme="majorBidi"/>
                <w:sz w:val="28"/>
                <w:szCs w:val="24"/>
                <w:lang w:val="en-SG"/>
              </w:rPr>
              <w:t>Semarak</w:t>
            </w:r>
            <w:proofErr w:type="spellEnd"/>
            <w:r w:rsidRPr="008F7C59">
              <w:rPr>
                <w:rFonts w:asciiTheme="majorBidi" w:hAnsiTheme="majorBidi" w:cstheme="majorBidi"/>
                <w:sz w:val="28"/>
                <w:szCs w:val="24"/>
                <w:lang w:val="en-SG"/>
              </w:rPr>
              <w:t xml:space="preserve"> International Journal of Islamic Studies and Culture</w:t>
            </w:r>
          </w:p>
        </w:tc>
        <w:tc>
          <w:tcPr>
            <w:tcW w:w="2347" w:type="dxa"/>
            <w:gridSpan w:val="2"/>
            <w:vMerge w:val="restart"/>
            <w:tcBorders>
              <w:top w:val="single" w:sz="18" w:space="0" w:color="auto"/>
              <w:left w:val="nil"/>
            </w:tcBorders>
            <w:vAlign w:val="center"/>
          </w:tcPr>
          <w:p w14:paraId="6191C904" w14:textId="73B0F0FE" w:rsidR="00D72741" w:rsidRPr="006F672B" w:rsidRDefault="004745EA" w:rsidP="009E2B42">
            <w:pPr>
              <w:ind w:right="-115"/>
              <w:jc w:val="right"/>
            </w:pPr>
            <w:r>
              <w:rPr>
                <w:noProof/>
                <w:color w:val="0070C0"/>
                <w:sz w:val="16"/>
                <w:szCs w:val="14"/>
              </w:rPr>
              <w:drawing>
                <wp:inline distT="0" distB="0" distL="0" distR="0" wp14:anchorId="661A347C" wp14:editId="165C6EC3">
                  <wp:extent cx="853440" cy="1183005"/>
                  <wp:effectExtent l="0" t="0" r="3810" b="0"/>
                  <wp:docPr id="38660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3440" cy="1183005"/>
                          </a:xfrm>
                          <a:prstGeom prst="rect">
                            <a:avLst/>
                          </a:prstGeom>
                          <a:noFill/>
                        </pic:spPr>
                      </pic:pic>
                    </a:graphicData>
                  </a:graphic>
                </wp:inline>
              </w:drawing>
            </w:r>
          </w:p>
        </w:tc>
      </w:tr>
      <w:tr w:rsidR="00570F0E"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3CA5BECE"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8F7C59" w:rsidRPr="008F7C59">
              <w:rPr>
                <w:color w:val="0070C0"/>
                <w:sz w:val="16"/>
                <w:szCs w:val="14"/>
                <w:lang w:val="en-SG"/>
              </w:rPr>
              <w:t>https://semarakilmu.com.my/journals/index.php/sijisc</w:t>
            </w:r>
          </w:p>
          <w:p w14:paraId="4B700B1C" w14:textId="74FAFAED" w:rsidR="00D72741" w:rsidRPr="006F56D7" w:rsidRDefault="00D72741" w:rsidP="007F6D7A">
            <w:pPr>
              <w:jc w:val="center"/>
            </w:pPr>
            <w:r w:rsidRPr="00AF0F2F">
              <w:rPr>
                <w:sz w:val="16"/>
                <w:szCs w:val="14"/>
              </w:rPr>
              <w:t xml:space="preserve">ISSN: </w:t>
            </w:r>
            <w:proofErr w:type="spellStart"/>
            <w:r w:rsidR="008F7C59">
              <w:rPr>
                <w:sz w:val="16"/>
                <w:szCs w:val="14"/>
              </w:rPr>
              <w:t>xxxx</w:t>
            </w:r>
            <w:r w:rsidR="009F2093">
              <w:rPr>
                <w:sz w:val="16"/>
                <w:szCs w:val="14"/>
              </w:rPr>
              <w:t>-</w:t>
            </w:r>
            <w:r w:rsidR="008F7C59">
              <w:rPr>
                <w:sz w:val="16"/>
                <w:szCs w:val="14"/>
              </w:rPr>
              <w:t>xxxx</w:t>
            </w:r>
            <w:proofErr w:type="spellEnd"/>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4E1C493D"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570F0E">
              <w:rPr>
                <w:rFonts w:eastAsia="Times New Roman" w:cs="Calibri"/>
                <w:iCs/>
                <w:sz w:val="24"/>
                <w:szCs w:val="24"/>
                <w:lang w:val="en-GB"/>
              </w:rPr>
              <w:t xml:space="preserve">, encouraged to collaborate with </w:t>
            </w:r>
            <w:proofErr w:type="spellStart"/>
            <w:r w:rsidR="00570F0E">
              <w:rPr>
                <w:rFonts w:eastAsia="Times New Roman" w:cs="Calibri"/>
                <w:iCs/>
                <w:sz w:val="24"/>
                <w:szCs w:val="24"/>
                <w:lang w:val="en-GB"/>
              </w:rPr>
              <w:t>intl</w:t>
            </w:r>
            <w:proofErr w:type="spellEnd"/>
            <w:r w:rsidR="00570F0E">
              <w:rPr>
                <w:rFonts w:eastAsia="Times New Roman" w:cs="Calibri"/>
                <w:iCs/>
                <w:sz w:val="24"/>
                <w:szCs w:val="24"/>
                <w:lang w:val="en-GB"/>
              </w:rPr>
              <w:t xml:space="preserve"> author</w:t>
            </w:r>
            <w:r w:rsidR="00570F0E">
              <w:rPr>
                <w:rFonts w:eastAsia="Times New Roman" w:cs="Calibri"/>
                <w:iCs/>
                <w:sz w:val="24"/>
                <w:szCs w:val="24"/>
                <w:vertAlign w:val="superscript"/>
                <w:lang w:val="en-GB"/>
              </w:rPr>
              <w:t>2</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570F0E"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570F0E"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570F0E"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70F0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70F0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70F0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70F0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bookmarkEnd w:id="0"/>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proofErr w:type="gramStart"/>
      <w:r w:rsidR="00147E81" w:rsidRPr="003B1620">
        <w:rPr>
          <w:rFonts w:cs="Times New Roman"/>
          <w:sz w:val="20"/>
          <w:szCs w:val="20"/>
        </w:rPr>
        <w:t xml:space="preserve">   </w:t>
      </w:r>
      <w:r w:rsidR="006B19C2" w:rsidRPr="003B1620">
        <w:rPr>
          <w:rFonts w:cs="Times New Roman"/>
          <w:sz w:val="20"/>
          <w:szCs w:val="20"/>
        </w:rPr>
        <w:t>(</w:t>
      </w:r>
      <w:proofErr w:type="gramEnd"/>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w:t>
      </w:r>
      <w:proofErr w:type="spellStart"/>
      <w:r w:rsidRPr="0049671B">
        <w:rPr>
          <w:rFonts w:cs="Times New Roman"/>
          <w:sz w:val="24"/>
          <w:szCs w:val="24"/>
          <w:lang w:val="en-US"/>
        </w:rPr>
        <w:t>Navier</w:t>
      </w:r>
      <w:proofErr w:type="spellEnd"/>
      <w:r w:rsidRPr="0049671B">
        <w:rPr>
          <w:rFonts w:cs="Times New Roman"/>
          <w:sz w:val="24"/>
          <w:szCs w:val="24"/>
          <w:lang w:val="en-US"/>
        </w:rPr>
        <w:t xml:space="preserve">-Stokes calculations and to obtain a more detailed experimental data. The VFE-2 experiments were carried out for both sharp and blunt </w:t>
      </w:r>
      <w:proofErr w:type="gramStart"/>
      <w:r w:rsidRPr="0049671B">
        <w:rPr>
          <w:rFonts w:cs="Times New Roman"/>
          <w:sz w:val="24"/>
          <w:szCs w:val="24"/>
          <w:lang w:val="en-US"/>
        </w:rPr>
        <w:t>leading edge</w:t>
      </w:r>
      <w:proofErr w:type="gramEnd"/>
      <w:r w:rsidRPr="0049671B">
        <w:rPr>
          <w:rFonts w:cs="Times New Roman"/>
          <w:sz w:val="24"/>
          <w:szCs w:val="24"/>
          <w:lang w:val="en-US"/>
        </w:rPr>
        <w:t xml:space="preserv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DE7C0E"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25pt;height:31.7pt;mso-width-percent:0;mso-height-percent:0;mso-width-percent:0;mso-height-percent:0" o:ole="">
            <v:imagedata r:id="rId16" o:title=""/>
          </v:shape>
          <o:OLEObject Type="Embed" ProgID="Equation.3" ShapeID="_x0000_i1025" DrawAspect="Content" ObjectID="_1766323702"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w:t>
      </w:r>
      <w:proofErr w:type="gramStart"/>
      <w:r w:rsidR="00BF2C82" w:rsidRPr="007826D7">
        <w:rPr>
          <w:rFonts w:eastAsia="Times New Roman"/>
          <w:sz w:val="24"/>
          <w:szCs w:val="24"/>
        </w:rPr>
        <w:t>leading edge</w:t>
      </w:r>
      <w:proofErr w:type="gramEnd"/>
      <w:r w:rsidR="00BF2C82" w:rsidRPr="007826D7">
        <w:rPr>
          <w:rFonts w:eastAsia="Times New Roman"/>
          <w:sz w:val="24"/>
          <w:szCs w:val="24"/>
        </w:rPr>
        <w:t xml:space="preserv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w:t>
      </w:r>
      <w:proofErr w:type="gramStart"/>
      <w:r w:rsidRPr="007826D7">
        <w:rPr>
          <w:rFonts w:eastAsia="Times New Roman"/>
          <w:sz w:val="24"/>
          <w:szCs w:val="24"/>
        </w:rPr>
        <w:t>Nevertheless</w:t>
      </w:r>
      <w:proofErr w:type="gramEnd"/>
      <w:r w:rsidRPr="007826D7">
        <w:rPr>
          <w:rFonts w:eastAsia="Times New Roman"/>
          <w:sz w:val="24"/>
          <w:szCs w:val="24"/>
        </w:rPr>
        <w:t xml:space="preserve">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t>
      </w:r>
      <w:proofErr w:type="gramStart"/>
      <w:r w:rsidR="00AA5F9D">
        <w:rPr>
          <w:rFonts w:eastAsia="Times New Roman"/>
          <w:sz w:val="24"/>
          <w:szCs w:val="24"/>
        </w:rPr>
        <w:t>were</w:t>
      </w:r>
      <w:proofErr w:type="gramEnd"/>
      <w:r w:rsidR="00AA5F9D">
        <w:rPr>
          <w:rFonts w:eastAsia="Times New Roman"/>
          <w:sz w:val="24"/>
          <w:szCs w:val="24"/>
        </w:rPr>
        <w:t xml:space="preserv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0646A601"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570F0E">
        <w:rPr>
          <w:rFonts w:cs="Times New Roman"/>
          <w:b/>
          <w:bCs/>
          <w:color w:val="FF0000"/>
          <w:sz w:val="24"/>
          <w:szCs w:val="24"/>
        </w:rPr>
        <w:t>20</w:t>
      </w:r>
      <w:r w:rsidR="00BF2C82" w:rsidRPr="00922793">
        <w:rPr>
          <w:rFonts w:cs="Times New Roman"/>
          <w:b/>
          <w:bCs/>
          <w:color w:val="FF0000"/>
          <w:sz w:val="24"/>
          <w:szCs w:val="24"/>
        </w:rPr>
        <w:t xml:space="preserve"> references</w:t>
      </w:r>
    </w:p>
    <w:p w14:paraId="1C2D62E0" w14:textId="77777777" w:rsidR="00AF3871" w:rsidRPr="00643502" w:rsidRDefault="00AF3871" w:rsidP="00AF3871">
      <w:pPr>
        <w:numPr>
          <w:ilvl w:val="0"/>
          <w:numId w:val="26"/>
        </w:numPr>
        <w:autoSpaceDE w:val="0"/>
        <w:autoSpaceDN w:val="0"/>
        <w:adjustRightInd w:val="0"/>
        <w:spacing w:after="0" w:line="240" w:lineRule="auto"/>
        <w:ind w:left="490" w:hangingChars="245" w:hanging="490"/>
        <w:jc w:val="both"/>
        <w:rPr>
          <w:rFonts w:eastAsia="Calibri" w:cstheme="minorHAnsi"/>
          <w:noProof/>
          <w:color w:val="000000" w:themeColor="text1"/>
          <w:sz w:val="20"/>
          <w:szCs w:val="20"/>
          <w:lang w:val="en-US"/>
        </w:rPr>
      </w:pPr>
      <w:r w:rsidRPr="004343F3">
        <w:rPr>
          <w:rFonts w:eastAsia="Calibri" w:cstheme="minorHAnsi"/>
          <w:noProof/>
          <w:color w:val="000000" w:themeColor="text1"/>
          <w:sz w:val="20"/>
          <w:szCs w:val="20"/>
          <w:lang w:val="en-US"/>
        </w:rPr>
        <w:t xml:space="preserve">Birch, Jennifer. “Interpreting Iroquoian site structure through geophysical prospection and soil chemistry: Insights from a coalescent community in Ontario, Canada.” </w:t>
      </w:r>
      <w:r w:rsidRPr="004343F3">
        <w:rPr>
          <w:rFonts w:eastAsia="Calibri" w:cstheme="minorHAnsi"/>
          <w:i/>
          <w:noProof/>
          <w:color w:val="000000" w:themeColor="text1"/>
          <w:sz w:val="20"/>
          <w:szCs w:val="20"/>
          <w:lang w:val="en-US"/>
        </w:rPr>
        <w:t>Journal of Archaeological Science: Reports</w:t>
      </w:r>
      <w:r w:rsidRPr="004343F3">
        <w:rPr>
          <w:rFonts w:eastAsia="Calibri" w:cstheme="minorHAnsi"/>
          <w:noProof/>
          <w:color w:val="000000" w:themeColor="text1"/>
          <w:sz w:val="20"/>
          <w:szCs w:val="20"/>
          <w:lang w:val="en-US"/>
        </w:rPr>
        <w:t xml:space="preserve"> 8 (2016): 102-111.</w:t>
      </w:r>
      <w:r>
        <w:rPr>
          <w:rFonts w:eastAsia="Calibri" w:cstheme="minorHAnsi"/>
          <w:noProof/>
          <w:color w:val="000000" w:themeColor="text1"/>
          <w:sz w:val="20"/>
          <w:szCs w:val="20"/>
          <w:lang w:val="en-US"/>
        </w:rPr>
        <w:t xml:space="preserve"> </w:t>
      </w:r>
      <w:hyperlink r:id="rId19" w:history="1">
        <w:r w:rsidRPr="00827912">
          <w:rPr>
            <w:rStyle w:val="Hyperlink"/>
            <w:rFonts w:eastAsia="Calibri" w:cstheme="minorHAnsi"/>
            <w:noProof/>
            <w:sz w:val="20"/>
            <w:szCs w:val="20"/>
          </w:rPr>
          <w:t>https://doi.org/10.1016/j.jasrep.2016.05.067</w:t>
        </w:r>
      </w:hyperlink>
    </w:p>
    <w:p w14:paraId="1436DBDB" w14:textId="77777777" w:rsidR="00AF3871" w:rsidRPr="00643502" w:rsidRDefault="00AF3871" w:rsidP="00AF3871">
      <w:pPr>
        <w:numPr>
          <w:ilvl w:val="0"/>
          <w:numId w:val="26"/>
        </w:numPr>
        <w:autoSpaceDE w:val="0"/>
        <w:autoSpaceDN w:val="0"/>
        <w:adjustRightInd w:val="0"/>
        <w:spacing w:after="0" w:line="240" w:lineRule="auto"/>
        <w:ind w:left="490" w:hangingChars="245" w:hanging="490"/>
        <w:jc w:val="both"/>
        <w:rPr>
          <w:rFonts w:eastAsia="Calibri" w:cstheme="minorHAnsi"/>
          <w:noProof/>
          <w:color w:val="000000" w:themeColor="text1"/>
          <w:sz w:val="20"/>
          <w:szCs w:val="20"/>
          <w:lang w:val="en-US"/>
        </w:rPr>
      </w:pPr>
      <w:r w:rsidRPr="004343F3">
        <w:rPr>
          <w:rFonts w:eastAsia="Calibri" w:cstheme="minorHAnsi"/>
          <w:noProof/>
          <w:color w:val="000000" w:themeColor="text1"/>
          <w:sz w:val="20"/>
          <w:szCs w:val="20"/>
          <w:lang w:val="en-US"/>
        </w:rPr>
        <w:t xml:space="preserve">Christian S. Hammons. "Indigenous religion, Christianity and the state: Mobility and nomadic metaphysics in Siberut, Western Indonesia." </w:t>
      </w:r>
      <w:r w:rsidRPr="004343F3">
        <w:rPr>
          <w:rFonts w:eastAsia="Calibri" w:cstheme="minorHAnsi"/>
          <w:i/>
          <w:noProof/>
          <w:color w:val="000000" w:themeColor="text1"/>
          <w:sz w:val="20"/>
          <w:szCs w:val="20"/>
          <w:lang w:val="en-US"/>
        </w:rPr>
        <w:t xml:space="preserve">The Asia Pacific Journal of Anthropology </w:t>
      </w:r>
      <w:r w:rsidRPr="004343F3">
        <w:rPr>
          <w:rFonts w:eastAsia="Calibri" w:cstheme="minorHAnsi"/>
          <w:noProof/>
          <w:color w:val="000000" w:themeColor="text1"/>
          <w:sz w:val="20"/>
          <w:szCs w:val="20"/>
          <w:lang w:val="en-US"/>
        </w:rPr>
        <w:t>17, no 5 (2016): 399-418.</w:t>
      </w:r>
      <w:r>
        <w:rPr>
          <w:rFonts w:eastAsia="Calibri" w:cstheme="minorHAnsi"/>
          <w:noProof/>
          <w:color w:val="000000" w:themeColor="text1"/>
          <w:sz w:val="20"/>
          <w:szCs w:val="20"/>
          <w:lang w:val="en-US"/>
        </w:rPr>
        <w:t xml:space="preserve"> </w:t>
      </w:r>
      <w:hyperlink r:id="rId20" w:history="1">
        <w:r w:rsidRPr="00827912">
          <w:rPr>
            <w:rStyle w:val="Hyperlink"/>
            <w:rFonts w:eastAsia="Calibri" w:cstheme="minorHAnsi"/>
            <w:noProof/>
            <w:sz w:val="20"/>
            <w:szCs w:val="20"/>
          </w:rPr>
          <w:t>https://doi.org/10.1080/14442213.2016.1208676</w:t>
        </w:r>
      </w:hyperlink>
    </w:p>
    <w:p w14:paraId="179D280B" w14:textId="77777777" w:rsidR="00AF3871" w:rsidRDefault="00AF3871" w:rsidP="00AF3871">
      <w:pPr>
        <w:numPr>
          <w:ilvl w:val="0"/>
          <w:numId w:val="26"/>
        </w:numPr>
        <w:autoSpaceDE w:val="0"/>
        <w:autoSpaceDN w:val="0"/>
        <w:adjustRightInd w:val="0"/>
        <w:spacing w:after="0" w:line="240" w:lineRule="auto"/>
        <w:ind w:left="490" w:hangingChars="245" w:hanging="490"/>
        <w:jc w:val="both"/>
        <w:rPr>
          <w:rFonts w:eastAsia="Calibri" w:cstheme="minorHAnsi"/>
          <w:noProof/>
          <w:color w:val="000000" w:themeColor="text1"/>
          <w:sz w:val="20"/>
          <w:szCs w:val="20"/>
          <w:lang w:val="en-US"/>
        </w:rPr>
      </w:pPr>
      <w:r w:rsidRPr="004343F3">
        <w:rPr>
          <w:rFonts w:eastAsia="Calibri" w:cstheme="minorHAnsi"/>
          <w:noProof/>
          <w:color w:val="000000" w:themeColor="text1"/>
          <w:sz w:val="20"/>
          <w:szCs w:val="20"/>
          <w:lang w:val="en-US"/>
        </w:rPr>
        <w:t xml:space="preserve">Joanna Pyzel, “Change and Continuity in the Danubian Longhouses of Lowland Poland,” in </w:t>
      </w:r>
      <w:r w:rsidRPr="004343F3">
        <w:rPr>
          <w:rFonts w:eastAsia="Calibri" w:cstheme="minorHAnsi"/>
          <w:i/>
          <w:noProof/>
          <w:color w:val="000000" w:themeColor="text1"/>
          <w:sz w:val="20"/>
          <w:szCs w:val="20"/>
          <w:lang w:val="en-US"/>
        </w:rPr>
        <w:t>Tracking the Neolithic House in Europe</w:t>
      </w:r>
      <w:r w:rsidRPr="004343F3">
        <w:rPr>
          <w:rFonts w:eastAsia="Calibri" w:cstheme="minorHAnsi"/>
          <w:noProof/>
          <w:color w:val="000000" w:themeColor="text1"/>
          <w:sz w:val="20"/>
          <w:szCs w:val="20"/>
          <w:lang w:val="en-US"/>
        </w:rPr>
        <w:t>, eds. Hofmann D., Smyth J. (New York: Springer, 2013), 183-196.</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default" r:id="rId21"/>
      <w:footerReference w:type="default" r:id="rId22"/>
      <w:headerReference w:type="first" r:id="rId23"/>
      <w:footerReference w:type="first" r:id="rId24"/>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C9679" w14:textId="77777777" w:rsidR="005A393F" w:rsidRDefault="005A393F" w:rsidP="00307DBE">
      <w:pPr>
        <w:spacing w:after="0" w:line="240" w:lineRule="auto"/>
      </w:pPr>
      <w:r>
        <w:separator/>
      </w:r>
    </w:p>
  </w:endnote>
  <w:endnote w:type="continuationSeparator" w:id="0">
    <w:p w14:paraId="3084D0F7" w14:textId="77777777" w:rsidR="005A393F" w:rsidRDefault="005A393F"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charset w:val="00"/>
    <w:family w:val="swiss"/>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default"/>
    <w:sig w:usb0="00000000"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Calibri"/>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C5F94" w14:textId="77777777" w:rsidR="005A393F" w:rsidRDefault="005A393F" w:rsidP="00307DBE">
      <w:pPr>
        <w:spacing w:after="0" w:line="240" w:lineRule="auto"/>
      </w:pPr>
      <w:r>
        <w:separator/>
      </w:r>
    </w:p>
  </w:footnote>
  <w:footnote w:type="continuationSeparator" w:id="0">
    <w:p w14:paraId="2DBDE68A" w14:textId="77777777" w:rsidR="005A393F" w:rsidRDefault="005A393F"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5740A5DB" w:rsidR="00DF5956" w:rsidRPr="00845C89" w:rsidRDefault="0051077C" w:rsidP="00DF5956">
      <w:pPr>
        <w:pStyle w:val="FootnoteText"/>
        <w:rPr>
          <w:rFonts w:cs="Times New Roman"/>
          <w:lang w:val="en-SG"/>
        </w:rPr>
      </w:pPr>
      <w:r w:rsidRPr="00F22DD1">
        <w:rPr>
          <w:rFonts w:cs="Times New Roman"/>
          <w:lang w:val="en-SG"/>
        </w:rPr>
        <w:t>https://doi.org/10.37934/</w:t>
      </w:r>
      <w:r w:rsidR="00513263" w:rsidRPr="00F22DD1">
        <w:rPr>
          <w:rFonts w:cs="Times New Roman"/>
          <w:lang w:val="en-SG"/>
        </w:rPr>
        <w:t>ar</w:t>
      </w:r>
      <w:r w:rsidR="004243BF" w:rsidRPr="00F22DD1">
        <w:rPr>
          <w:rFonts w:cs="Times New Roman"/>
          <w:lang w:val="en-SG"/>
        </w:rPr>
        <w:t>a</w:t>
      </w:r>
      <w:r w:rsidR="00570F0E">
        <w:rPr>
          <w:rFonts w:cs="Times New Roman"/>
          <w:lang w:val="en-SG"/>
        </w:rPr>
        <w:t>m</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EC112" w14:textId="2E5758B0" w:rsidR="007F6D7A" w:rsidRPr="00380ADE" w:rsidRDefault="00F65A71"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F65A71">
      <w:rPr>
        <w:rFonts w:ascii="Times New Roman" w:eastAsia="Calibri" w:hAnsi="Times New Roman" w:cs="Arial"/>
        <w:i/>
        <w:iCs/>
        <w:sz w:val="16"/>
        <w:szCs w:val="14"/>
      </w:rPr>
      <w:t xml:space="preserve">Journal of Advanced Research in Applied </w:t>
    </w:r>
    <w:r w:rsidR="00570F0E">
      <w:rPr>
        <w:rFonts w:ascii="Times New Roman" w:eastAsia="Calibri" w:hAnsi="Times New Roman" w:cs="Arial"/>
        <w:i/>
        <w:iCs/>
        <w:sz w:val="16"/>
        <w:szCs w:val="14"/>
      </w:rPr>
      <w:t>Mechanics</w:t>
    </w:r>
  </w:p>
  <w:p w14:paraId="1951AE2D" w14:textId="34F03895"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5C142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w:t>
    </w:r>
    <w:r w:rsidR="002B1B8A">
      <w:rPr>
        <w:rFonts w:ascii="Times New Roman" w:eastAsia="Calibri" w:hAnsi="Times New Roman" w:cs="Arial"/>
        <w:sz w:val="16"/>
        <w:szCs w:val="14"/>
        <w:lang w:val="en-GB"/>
      </w:rPr>
      <w:t>3</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E23B6" w14:textId="05317EF5"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4771046A" w14:textId="559BBD8B" w:rsidR="003903A5" w:rsidRPr="003F5EA9" w:rsidRDefault="008F7C59" w:rsidP="003903A5">
    <w:pPr>
      <w:tabs>
        <w:tab w:val="center" w:pos="4680"/>
        <w:tab w:val="right" w:pos="9360"/>
      </w:tabs>
      <w:spacing w:after="0" w:line="240" w:lineRule="auto"/>
      <w:jc w:val="center"/>
      <w:rPr>
        <w:rFonts w:ascii="Times New Roman" w:eastAsia="Calibri" w:hAnsi="Times New Roman" w:cs="Arial"/>
        <w:i/>
        <w:iCs/>
        <w:sz w:val="24"/>
        <w:lang w:val="en-GB"/>
      </w:rPr>
    </w:pPr>
    <w:proofErr w:type="spellStart"/>
    <w:r w:rsidRPr="008F7C59">
      <w:rPr>
        <w:rFonts w:ascii="Times New Roman" w:eastAsia="Calibri" w:hAnsi="Times New Roman" w:cs="Arial"/>
        <w:i/>
        <w:iCs/>
        <w:sz w:val="16"/>
        <w:szCs w:val="14"/>
      </w:rPr>
      <w:t>Semarak</w:t>
    </w:r>
    <w:proofErr w:type="spellEnd"/>
    <w:r w:rsidRPr="008F7C59">
      <w:rPr>
        <w:rFonts w:ascii="Times New Roman" w:eastAsia="Calibri" w:hAnsi="Times New Roman" w:cs="Arial"/>
        <w:i/>
        <w:iCs/>
        <w:sz w:val="16"/>
        <w:szCs w:val="14"/>
      </w:rPr>
      <w:t xml:space="preserve"> International Journal of Islamic Studies and Culture</w:t>
    </w:r>
    <w:r w:rsidRPr="008F7C59">
      <w:rPr>
        <w:rFonts w:ascii="Times New Roman" w:eastAsia="Calibri" w:hAnsi="Times New Roman" w:cs="Arial"/>
        <w:i/>
        <w:iCs/>
        <w:sz w:val="16"/>
        <w:szCs w:val="14"/>
        <w:lang w:val="en-GB"/>
      </w:rPr>
      <w:t xml:space="preserve"> </w:t>
    </w:r>
    <w:r w:rsidR="003903A5">
      <w:rPr>
        <w:rFonts w:ascii="Times New Roman" w:eastAsia="Calibri" w:hAnsi="Times New Roman" w:cs="Arial"/>
        <w:color w:val="000000" w:themeColor="text1"/>
        <w:sz w:val="16"/>
        <w:szCs w:val="14"/>
        <w:lang w:val="en-GB"/>
      </w:rPr>
      <w:t>XX</w:t>
    </w:r>
    <w:r w:rsidR="003903A5" w:rsidRPr="008B1CF6">
      <w:rPr>
        <w:rFonts w:ascii="Times New Roman" w:eastAsia="Calibri" w:hAnsi="Times New Roman" w:cs="Arial"/>
        <w:color w:val="000000" w:themeColor="text1"/>
        <w:sz w:val="16"/>
        <w:szCs w:val="14"/>
        <w:lang w:val="en-GB"/>
      </w:rPr>
      <w:t xml:space="preserve">, Issue </w:t>
    </w:r>
    <w:r w:rsidR="003903A5">
      <w:rPr>
        <w:rFonts w:ascii="Times New Roman" w:eastAsia="Calibri" w:hAnsi="Times New Roman" w:cs="Arial"/>
        <w:color w:val="000000" w:themeColor="text1"/>
        <w:sz w:val="16"/>
        <w:szCs w:val="14"/>
        <w:lang w:val="en-GB"/>
      </w:rPr>
      <w:t>X</w:t>
    </w:r>
    <w:r w:rsidR="003903A5" w:rsidRPr="008B1CF6">
      <w:rPr>
        <w:rFonts w:ascii="Times New Roman" w:eastAsia="Calibri" w:hAnsi="Times New Roman" w:cs="Arial"/>
        <w:color w:val="000000" w:themeColor="text1"/>
        <w:sz w:val="16"/>
        <w:szCs w:val="14"/>
        <w:lang w:val="en-GB"/>
      </w:rPr>
      <w:t xml:space="preserve"> (20</w:t>
    </w:r>
    <w:r w:rsidR="00DB6DDA">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3903A5" w:rsidRPr="008B1CF6">
      <w:rPr>
        <w:rFonts w:ascii="Times New Roman" w:eastAsia="Calibri" w:hAnsi="Times New Roman" w:cs="Arial"/>
        <w:color w:val="000000" w:themeColor="text1"/>
        <w:sz w:val="16"/>
        <w:szCs w:val="14"/>
        <w:lang w:val="en-GB"/>
      </w:rPr>
      <w:t xml:space="preserve">) </w:t>
    </w:r>
    <w:r w:rsidR="003903A5">
      <w:rPr>
        <w:rFonts w:ascii="Times New Roman" w:eastAsia="Calibri" w:hAnsi="Times New Roman" w:cs="Arial"/>
        <w:color w:val="000000" w:themeColor="text1"/>
        <w:sz w:val="16"/>
        <w:szCs w:val="14"/>
        <w:lang w:val="en-GB"/>
      </w:rPr>
      <w:t>XX</w:t>
    </w:r>
    <w:r w:rsidR="003903A5" w:rsidRPr="008B1CF6">
      <w:rPr>
        <w:rFonts w:ascii="Times New Roman" w:eastAsia="Calibri" w:hAnsi="Times New Roman" w:cs="Arial"/>
        <w:color w:val="000000" w:themeColor="text1"/>
        <w:sz w:val="16"/>
        <w:szCs w:val="14"/>
        <w:lang w:val="en-GB"/>
      </w:rPr>
      <w:t>-</w:t>
    </w:r>
    <w:r w:rsidR="003903A5">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A458BE"/>
    <w:multiLevelType w:val="hybridMultilevel"/>
    <w:tmpl w:val="84205090"/>
    <w:lvl w:ilvl="0" w:tplc="9A4E23FE">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13"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5"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7"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8"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2"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3"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5"/>
  </w:num>
  <w:num w:numId="5">
    <w:abstractNumId w:val="6"/>
  </w:num>
  <w:num w:numId="6">
    <w:abstractNumId w:val="10"/>
  </w:num>
  <w:num w:numId="7">
    <w:abstractNumId w:val="16"/>
  </w:num>
  <w:num w:numId="8">
    <w:abstractNumId w:val="1"/>
  </w:num>
  <w:num w:numId="9">
    <w:abstractNumId w:val="18"/>
  </w:num>
  <w:num w:numId="10">
    <w:abstractNumId w:val="11"/>
  </w:num>
  <w:num w:numId="11">
    <w:abstractNumId w:val="19"/>
  </w:num>
  <w:num w:numId="12">
    <w:abstractNumId w:val="17"/>
  </w:num>
  <w:num w:numId="13">
    <w:abstractNumId w:val="24"/>
  </w:num>
  <w:num w:numId="14">
    <w:abstractNumId w:val="25"/>
  </w:num>
  <w:num w:numId="15">
    <w:abstractNumId w:val="14"/>
  </w:num>
  <w:num w:numId="16">
    <w:abstractNumId w:val="23"/>
  </w:num>
  <w:num w:numId="17">
    <w:abstractNumId w:val="7"/>
  </w:num>
  <w:num w:numId="18">
    <w:abstractNumId w:val="5"/>
  </w:num>
  <w:num w:numId="19">
    <w:abstractNumId w:val="20"/>
  </w:num>
  <w:num w:numId="20">
    <w:abstractNumId w:val="8"/>
  </w:num>
  <w:num w:numId="21">
    <w:abstractNumId w:val="3"/>
  </w:num>
  <w:num w:numId="22">
    <w:abstractNumId w:val="21"/>
  </w:num>
  <w:num w:numId="23">
    <w:abstractNumId w:val="22"/>
  </w:num>
  <w:num w:numId="24">
    <w:abstractNumId w:val="13"/>
  </w:num>
  <w:num w:numId="25">
    <w:abstractNumId w:val="0"/>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946E2"/>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1B8A"/>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564"/>
    <w:rsid w:val="0046477A"/>
    <w:rsid w:val="004651C5"/>
    <w:rsid w:val="00466763"/>
    <w:rsid w:val="00466F1B"/>
    <w:rsid w:val="004745EA"/>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E761D"/>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0F0E"/>
    <w:rsid w:val="00571A12"/>
    <w:rsid w:val="00582046"/>
    <w:rsid w:val="00582146"/>
    <w:rsid w:val="00583B98"/>
    <w:rsid w:val="005845AB"/>
    <w:rsid w:val="00585949"/>
    <w:rsid w:val="00587367"/>
    <w:rsid w:val="0058780D"/>
    <w:rsid w:val="00587D70"/>
    <w:rsid w:val="0059004D"/>
    <w:rsid w:val="00593612"/>
    <w:rsid w:val="005A0870"/>
    <w:rsid w:val="005A37BA"/>
    <w:rsid w:val="005A393F"/>
    <w:rsid w:val="005B23FE"/>
    <w:rsid w:val="005B33A9"/>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09C9"/>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B4E73"/>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B0E88"/>
    <w:rsid w:val="008B1BD0"/>
    <w:rsid w:val="008C5A44"/>
    <w:rsid w:val="008C647E"/>
    <w:rsid w:val="008C79E0"/>
    <w:rsid w:val="008D3E26"/>
    <w:rsid w:val="008D4144"/>
    <w:rsid w:val="008D756D"/>
    <w:rsid w:val="008E1B32"/>
    <w:rsid w:val="008E253B"/>
    <w:rsid w:val="008E4DEC"/>
    <w:rsid w:val="008E5C16"/>
    <w:rsid w:val="008F031B"/>
    <w:rsid w:val="008F4828"/>
    <w:rsid w:val="008F7C59"/>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1A1C"/>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B7BDB"/>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3871"/>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544B"/>
    <w:rsid w:val="00DE6D5E"/>
    <w:rsid w:val="00DE74A2"/>
    <w:rsid w:val="00DE7C0E"/>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B7708"/>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05C8"/>
    <w:rsid w:val="00FA1255"/>
    <w:rsid w:val="00FA2B0E"/>
    <w:rsid w:val="00FA6FA8"/>
    <w:rsid w:val="00FB2014"/>
    <w:rsid w:val="00FB21F6"/>
    <w:rsid w:val="00FB513A"/>
    <w:rsid w:val="00FB6148"/>
    <w:rsid w:val="00FB7B88"/>
    <w:rsid w:val="00FC358F"/>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080/14442213.2016.12086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doi.org/10.1016/j.jasrep.2016.05.06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A4E99-3E49-4556-AAEA-467D3CDBE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1575</Words>
  <Characters>8981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Mohd Sujairi</cp:lastModifiedBy>
  <cp:revision>3</cp:revision>
  <cp:lastPrinted>2016-12-23T01:28:00Z</cp:lastPrinted>
  <dcterms:created xsi:type="dcterms:W3CDTF">2024-01-04T08:17:00Z</dcterms:created>
  <dcterms:modified xsi:type="dcterms:W3CDTF">2024-01-09T08:42:00Z</dcterms:modified>
</cp:coreProperties>
</file>