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24"/>
        <w:gridCol w:w="4216"/>
        <w:gridCol w:w="2320"/>
        <w:gridCol w:w="27"/>
      </w:tblGrid>
      <w:tr w:rsidR="005775A9" w14:paraId="7469433B" w14:textId="77777777" w:rsidTr="002027A9">
        <w:trPr>
          <w:trHeight w:val="1008"/>
          <w:jc w:val="center"/>
        </w:trPr>
        <w:tc>
          <w:tcPr>
            <w:tcW w:w="2347" w:type="dxa"/>
            <w:gridSpan w:val="2"/>
            <w:vMerge w:val="restart"/>
            <w:tcBorders>
              <w:top w:val="single" w:sz="18" w:space="0" w:color="auto"/>
              <w:right w:val="nil"/>
            </w:tcBorders>
            <w:vAlign w:val="center"/>
          </w:tcPr>
          <w:p w14:paraId="51523346" w14:textId="77777777" w:rsidR="005775A9" w:rsidRDefault="005775A9" w:rsidP="002027A9">
            <w:pPr>
              <w:ind w:left="-115"/>
            </w:pPr>
            <w:r w:rsidRPr="000D72AC">
              <w:rPr>
                <w:noProof/>
              </w:rPr>
              <w:drawing>
                <wp:inline distT="0" distB="0" distL="0" distR="0" wp14:anchorId="204E7914" wp14:editId="7D87BF7D">
                  <wp:extent cx="1022982" cy="1188720"/>
                  <wp:effectExtent l="0" t="0" r="6350" b="0"/>
                  <wp:docPr id="1" name="Picture 1"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5985D7F9" w14:textId="77777777" w:rsidR="005775A9" w:rsidRPr="006F56D7" w:rsidRDefault="005775A9" w:rsidP="002027A9">
            <w:pPr>
              <w:spacing w:before="280"/>
              <w:jc w:val="center"/>
              <w:rPr>
                <w:rFonts w:asciiTheme="majorBidi" w:hAnsiTheme="majorBidi" w:cstheme="majorBidi"/>
              </w:rPr>
            </w:pPr>
            <w:r>
              <w:rPr>
                <w:rFonts w:asciiTheme="majorBidi" w:hAnsiTheme="majorBidi" w:cstheme="majorBidi"/>
                <w:sz w:val="28"/>
                <w:szCs w:val="24"/>
              </w:rPr>
              <w:t xml:space="preserve">Semarak International Journal of Electronic System Engineering  </w:t>
            </w:r>
          </w:p>
        </w:tc>
        <w:tc>
          <w:tcPr>
            <w:tcW w:w="2347" w:type="dxa"/>
            <w:gridSpan w:val="2"/>
            <w:vMerge w:val="restart"/>
            <w:tcBorders>
              <w:top w:val="single" w:sz="18" w:space="0" w:color="auto"/>
              <w:left w:val="nil"/>
            </w:tcBorders>
            <w:vAlign w:val="center"/>
          </w:tcPr>
          <w:p w14:paraId="7EBB5999" w14:textId="77777777" w:rsidR="005775A9" w:rsidRPr="006F672B" w:rsidRDefault="005775A9" w:rsidP="002027A9">
            <w:pPr>
              <w:ind w:right="-115"/>
              <w:jc w:val="right"/>
            </w:pPr>
            <w:r>
              <w:fldChar w:fldCharType="begin"/>
            </w:r>
            <w:r>
              <w:instrText xml:space="preserve"> INCLUDEPICTURE "blob:https://web.whatsapp.com/3dc365b1-544b-4711-ab98-c2ff47a39a1e" \* MERGEFORMATINET </w:instrText>
            </w:r>
            <w:r>
              <w:fldChar w:fldCharType="separate"/>
            </w:r>
            <w:r>
              <w:rPr>
                <w:noProof/>
              </w:rPr>
              <mc:AlternateContent>
                <mc:Choice Requires="wps">
                  <w:drawing>
                    <wp:inline distT="0" distB="0" distL="0" distR="0" wp14:anchorId="5BCA2CB3" wp14:editId="7621A677">
                      <wp:extent cx="302260" cy="302260"/>
                      <wp:effectExtent l="0" t="0" r="0" b="0"/>
                      <wp:docPr id="173509565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95653E"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" filled="f" stroked="f">
                      <o:lock v:ext="edit" aspectratio="t"/>
                      <w10:anchorlock/>
                    </v:rect>
                  </w:pict>
                </mc:Fallback>
              </mc:AlternateContent>
            </w:r>
            <w:r>
              <w:fldChar w:fldCharType="end"/>
            </w:r>
            <w:r w:rsidRPr="00A6799E">
              <w:rPr>
                <w:noProof/>
              </w:rPr>
              <w:drawing>
                <wp:inline distT="0" distB="0" distL="0" distR="0" wp14:anchorId="03FC2276" wp14:editId="7AC2CCD3">
                  <wp:extent cx="889200" cy="1259077"/>
                  <wp:effectExtent l="0" t="0" r="0" b="0"/>
                  <wp:docPr id="129467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71242" name=""/>
                          <pic:cNvPicPr/>
                        </pic:nvPicPr>
                        <pic:blipFill>
                          <a:blip r:embed="rId9"/>
                          <a:stretch>
                            <a:fillRect/>
                          </a:stretch>
                        </pic:blipFill>
                        <pic:spPr>
                          <a:xfrm>
                            <a:off x="0" y="0"/>
                            <a:ext cx="889200" cy="1259077"/>
                          </a:xfrm>
                          <a:prstGeom prst="rect">
                            <a:avLst/>
                          </a:prstGeom>
                        </pic:spPr>
                      </pic:pic>
                    </a:graphicData>
                  </a:graphic>
                </wp:inline>
              </w:drawing>
            </w:r>
          </w:p>
        </w:tc>
      </w:tr>
      <w:tr w:rsidR="005775A9" w14:paraId="19CB1E1A" w14:textId="77777777" w:rsidTr="002027A9">
        <w:trPr>
          <w:trHeight w:val="20"/>
          <w:jc w:val="center"/>
        </w:trPr>
        <w:tc>
          <w:tcPr>
            <w:tcW w:w="2347" w:type="dxa"/>
            <w:gridSpan w:val="2"/>
            <w:vMerge/>
            <w:tcBorders>
              <w:bottom w:val="single" w:sz="18" w:space="0" w:color="auto"/>
              <w:right w:val="nil"/>
            </w:tcBorders>
          </w:tcPr>
          <w:p w14:paraId="054529FF" w14:textId="77777777" w:rsidR="005775A9" w:rsidRDefault="005775A9" w:rsidP="002027A9"/>
        </w:tc>
        <w:tc>
          <w:tcPr>
            <w:tcW w:w="5040" w:type="dxa"/>
            <w:gridSpan w:val="2"/>
            <w:tcBorders>
              <w:top w:val="nil"/>
              <w:left w:val="nil"/>
              <w:bottom w:val="single" w:sz="18" w:space="0" w:color="auto"/>
              <w:right w:val="nil"/>
            </w:tcBorders>
            <w:vAlign w:val="center"/>
          </w:tcPr>
          <w:p w14:paraId="4968BCFB" w14:textId="77777777" w:rsidR="005775A9" w:rsidRDefault="005775A9" w:rsidP="002027A9">
            <w:pPr>
              <w:spacing w:before="120"/>
              <w:jc w:val="center"/>
              <w:rPr>
                <w:color w:val="0070C0"/>
                <w:sz w:val="16"/>
                <w:szCs w:val="14"/>
              </w:rPr>
            </w:pPr>
            <w:r>
              <w:rPr>
                <w:sz w:val="16"/>
                <w:szCs w:val="14"/>
              </w:rPr>
              <w:t>J</w:t>
            </w:r>
            <w:r w:rsidRPr="006F56D7">
              <w:rPr>
                <w:sz w:val="16"/>
                <w:szCs w:val="14"/>
              </w:rPr>
              <w:t>ournal homepage:</w:t>
            </w:r>
            <w:r>
              <w:rPr>
                <w:sz w:val="16"/>
                <w:szCs w:val="14"/>
              </w:rPr>
              <w:t xml:space="preserve"> </w:t>
            </w:r>
            <w:r w:rsidRPr="00115707">
              <w:rPr>
                <w:i/>
                <w:iCs/>
                <w:kern w:val="2"/>
                <w:sz w:val="24"/>
                <w:szCs w:val="24"/>
                <w:lang w:val="en-MY"/>
                <w14:ligatures w14:val="standardContextual"/>
              </w:rPr>
              <w:t xml:space="preserve"> </w:t>
            </w:r>
            <w:r w:rsidRPr="00115707">
              <w:rPr>
                <w:i/>
                <w:iCs/>
                <w:color w:val="0070C0"/>
                <w:sz w:val="16"/>
                <w:szCs w:val="14"/>
                <w:lang w:val="en-MY"/>
              </w:rPr>
              <w:t>https://semarakilmu.com.my/journals/index.php/</w:t>
            </w:r>
            <w:r>
              <w:rPr>
                <w:i/>
                <w:iCs/>
                <w:color w:val="0070C0"/>
                <w:sz w:val="16"/>
                <w:szCs w:val="14"/>
                <w:lang w:val="en-MY"/>
              </w:rPr>
              <w:t>sijese</w:t>
            </w:r>
            <w:r w:rsidRPr="00115707">
              <w:rPr>
                <w:i/>
                <w:iCs/>
                <w:color w:val="0070C0"/>
                <w:sz w:val="16"/>
                <w:szCs w:val="14"/>
                <w:lang w:val="en-MY"/>
              </w:rPr>
              <w:t>/index</w:t>
            </w:r>
          </w:p>
          <w:p w14:paraId="5226BC81" w14:textId="6467F235" w:rsidR="005775A9" w:rsidRPr="006F56D7" w:rsidRDefault="005775A9" w:rsidP="002027A9">
            <w:pPr>
              <w:jc w:val="center"/>
            </w:pPr>
            <w:r w:rsidRPr="00AF0F2F">
              <w:rPr>
                <w:sz w:val="16"/>
                <w:szCs w:val="14"/>
              </w:rPr>
              <w:t xml:space="preserve">ISSN: </w:t>
            </w:r>
            <w:r w:rsidR="002313CB">
              <w:rPr>
                <w:sz w:val="16"/>
                <w:szCs w:val="14"/>
              </w:rPr>
              <w:t>3030-5519</w:t>
            </w:r>
            <w:bookmarkStart w:id="0" w:name="_GoBack"/>
            <w:bookmarkEnd w:id="0"/>
          </w:p>
        </w:tc>
        <w:tc>
          <w:tcPr>
            <w:tcW w:w="2347" w:type="dxa"/>
            <w:gridSpan w:val="2"/>
            <w:vMerge/>
            <w:tcBorders>
              <w:left w:val="nil"/>
              <w:bottom w:val="single" w:sz="18" w:space="0" w:color="auto"/>
            </w:tcBorders>
          </w:tcPr>
          <w:p w14:paraId="331A7A1B" w14:textId="77777777" w:rsidR="005775A9" w:rsidRPr="006F672B" w:rsidRDefault="005775A9" w:rsidP="002027A9"/>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2027A9">
        <w:trPr>
          <w:trHeight w:val="20"/>
          <w:jc w:val="center"/>
        </w:trPr>
        <w:tc>
          <w:tcPr>
            <w:tcW w:w="9734" w:type="dxa"/>
            <w:gridSpan w:val="6"/>
            <w:tcBorders>
              <w:top w:val="nil"/>
              <w:bottom w:val="nil"/>
            </w:tcBorders>
            <w:vAlign w:val="center"/>
          </w:tcPr>
          <w:p w14:paraId="2A6C61BB" w14:textId="2105C9C4" w:rsidR="009046E8" w:rsidRPr="0024372F" w:rsidRDefault="0024372F" w:rsidP="0024372F">
            <w:pPr>
              <w:ind w:left="-113"/>
              <w:rPr>
                <w:rFonts w:cs="Calibri"/>
                <w:sz w:val="32"/>
                <w:szCs w:val="32"/>
                <w:lang w:val="en-AU"/>
              </w:rPr>
            </w:pPr>
            <w:r w:rsidRPr="0024372F">
              <w:rPr>
                <w:rFonts w:cs="Calibri"/>
                <w:sz w:val="32"/>
                <w:szCs w:val="32"/>
                <w:lang w:val="en-AU"/>
              </w:rPr>
              <w:t>The Novel Method in Validating the Spectral Wavelength Optimization to Determine Archaeological Proxies by the Integration of Aerial and Ground Platforms</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6EE1DD21" w:rsidR="00351F89" w:rsidRPr="0024372F" w:rsidRDefault="0024372F" w:rsidP="0024372F">
            <w:pPr>
              <w:ind w:left="-115"/>
              <w:rPr>
                <w:rFonts w:eastAsia="Times New Roman" w:cs="Calibri"/>
                <w:iCs/>
                <w:sz w:val="24"/>
                <w:szCs w:val="24"/>
                <w:lang w:val="en-SG"/>
              </w:rPr>
            </w:pPr>
            <w:r w:rsidRPr="0024372F">
              <w:rPr>
                <w:rFonts w:eastAsia="Times New Roman" w:cs="Calibri"/>
                <w:iCs/>
                <w:sz w:val="24"/>
                <w:szCs w:val="24"/>
                <w:lang w:val="fr-FR"/>
              </w:rPr>
              <w:t>Shairatul Akma Roslan</w:t>
            </w:r>
            <w:r w:rsidRPr="00D427AA">
              <w:rPr>
                <w:rFonts w:eastAsia="Times New Roman" w:cs="Calibri"/>
                <w:iCs/>
                <w:sz w:val="24"/>
                <w:szCs w:val="24"/>
                <w:vertAlign w:val="superscript"/>
                <w:lang w:val="en-GB"/>
              </w:rPr>
              <w:t>1</w:t>
            </w:r>
            <w:r>
              <w:rPr>
                <w:rFonts w:eastAsia="Times New Roman" w:cs="Calibri"/>
                <w:iCs/>
                <w:sz w:val="24"/>
                <w:szCs w:val="24"/>
                <w:lang w:val="en-GB"/>
              </w:rPr>
              <w:t>,</w:t>
            </w:r>
            <w:r w:rsidRPr="0024372F">
              <w:rPr>
                <w:rFonts w:eastAsia="Times New Roman" w:cs="Calibri"/>
                <w:iCs/>
                <w:sz w:val="24"/>
                <w:szCs w:val="24"/>
                <w:lang w:val="fr-FR"/>
              </w:rPr>
              <w:t xml:space="preserve"> </w:t>
            </w:r>
            <w:bookmarkStart w:id="1" w:name="_Hlk60684058"/>
            <w:r w:rsidRPr="0024372F">
              <w:rPr>
                <w:rFonts w:eastAsia="Times New Roman" w:cs="Calibri"/>
                <w:iCs/>
                <w:sz w:val="24"/>
                <w:szCs w:val="24"/>
                <w:lang w:val="fr-FR"/>
              </w:rPr>
              <w:t>Fitri Yakub</w:t>
            </w:r>
            <w:r w:rsidRPr="0024372F">
              <w:rPr>
                <w:rFonts w:eastAsia="Times New Roman" w:cs="Calibri"/>
                <w:iCs/>
                <w:sz w:val="24"/>
                <w:szCs w:val="24"/>
                <w:vertAlign w:val="superscript"/>
                <w:lang w:val="fr-FR"/>
              </w:rPr>
              <w:t>1</w:t>
            </w:r>
            <w:r w:rsidR="002C2D5C">
              <w:rPr>
                <w:rFonts w:eastAsia="Times New Roman" w:cs="Calibri"/>
                <w:iCs/>
                <w:sz w:val="24"/>
                <w:szCs w:val="24"/>
                <w:vertAlign w:val="superscript"/>
                <w:lang w:val="en-GB"/>
              </w:rPr>
              <w:t>,</w:t>
            </w:r>
            <w:r w:rsidR="002C2D5C" w:rsidRPr="00A501B9">
              <w:rPr>
                <w:rStyle w:val="FootnoteReference"/>
                <w:rFonts w:eastAsia="Times New Roman" w:cs="Times New Roman"/>
                <w:iCs/>
                <w:sz w:val="24"/>
                <w:szCs w:val="28"/>
              </w:rPr>
              <w:footnoteReference w:customMarkFollows="1" w:id="1"/>
              <w:t>*</w:t>
            </w:r>
            <w:r w:rsidRPr="0024372F">
              <w:rPr>
                <w:rFonts w:eastAsia="Times New Roman" w:cs="Calibri"/>
                <w:iCs/>
                <w:sz w:val="24"/>
                <w:szCs w:val="24"/>
                <w:lang w:val="fr-FR"/>
              </w:rPr>
              <w:t xml:space="preserve">, </w:t>
            </w:r>
            <w:bookmarkEnd w:id="1"/>
            <w:r w:rsidRPr="0024372F">
              <w:rPr>
                <w:rFonts w:eastAsia="Times New Roman" w:cs="Calibri"/>
                <w:iCs/>
                <w:sz w:val="24"/>
                <w:szCs w:val="24"/>
                <w:lang w:val="fr-FR"/>
              </w:rPr>
              <w:t>Shuib Rambat</w:t>
            </w:r>
            <w:r w:rsidRPr="0024372F">
              <w:rPr>
                <w:rFonts w:eastAsia="Times New Roman" w:cs="Calibri"/>
                <w:iCs/>
                <w:sz w:val="24"/>
                <w:szCs w:val="24"/>
                <w:vertAlign w:val="superscript"/>
                <w:lang w:val="fr-FR"/>
              </w:rPr>
              <w:t>1</w:t>
            </w:r>
            <w:r w:rsidRPr="0024372F">
              <w:rPr>
                <w:rFonts w:eastAsia="Times New Roman" w:cs="Calibri"/>
                <w:iCs/>
                <w:sz w:val="24"/>
                <w:szCs w:val="24"/>
                <w:lang w:val="fr-FR"/>
              </w:rPr>
              <w:t>, Sharifah Munawwarah</w:t>
            </w:r>
            <w:r w:rsidRPr="0024372F">
              <w:rPr>
                <w:rFonts w:eastAsia="Times New Roman" w:cs="Calibri"/>
                <w:iCs/>
                <w:sz w:val="24"/>
                <w:szCs w:val="24"/>
                <w:vertAlign w:val="superscript"/>
                <w:lang w:val="fr-FR"/>
              </w:rPr>
              <w:t>2</w:t>
            </w:r>
            <w:r w:rsidRPr="0024372F">
              <w:rPr>
                <w:rFonts w:eastAsia="Times New Roman" w:cs="Calibri"/>
                <w:iCs/>
                <w:sz w:val="24"/>
                <w:szCs w:val="24"/>
                <w:lang w:val="fr-FR"/>
              </w:rPr>
              <w:t>, Mokhtar Saidin</w:t>
            </w:r>
            <w:r w:rsidRPr="0024372F">
              <w:rPr>
                <w:rFonts w:eastAsia="Times New Roman" w:cs="Calibri"/>
                <w:iCs/>
                <w:sz w:val="24"/>
                <w:szCs w:val="24"/>
                <w:vertAlign w:val="superscript"/>
                <w:lang w:val="fr-FR"/>
              </w:rPr>
              <w:t>3</w:t>
            </w:r>
            <w:r w:rsidRPr="0024372F">
              <w:rPr>
                <w:rFonts w:eastAsia="Times New Roman" w:cs="Calibri"/>
                <w:iCs/>
                <w:sz w:val="24"/>
                <w:szCs w:val="24"/>
                <w:lang w:val="fr-FR"/>
              </w:rPr>
              <w:t>, Farah Liana</w:t>
            </w:r>
            <w:r w:rsidRPr="0024372F">
              <w:rPr>
                <w:rFonts w:eastAsia="Times New Roman" w:cs="Calibri"/>
                <w:iCs/>
                <w:sz w:val="24"/>
                <w:szCs w:val="24"/>
                <w:vertAlign w:val="superscript"/>
                <w:lang w:val="fr-FR"/>
              </w:rPr>
              <w:t>1</w:t>
            </w:r>
            <w:r w:rsidRPr="0024372F">
              <w:rPr>
                <w:rFonts w:eastAsia="Times New Roman" w:cs="Calibri"/>
                <w:iCs/>
                <w:sz w:val="24"/>
                <w:szCs w:val="24"/>
                <w:lang w:val="fr-FR"/>
              </w:rPr>
              <w:t xml:space="preserve">, </w:t>
            </w:r>
            <w:r w:rsidRPr="0024372F">
              <w:rPr>
                <w:rFonts w:eastAsia="Times New Roman" w:cs="Calibri"/>
                <w:iCs/>
                <w:sz w:val="24"/>
                <w:szCs w:val="24"/>
                <w:lang w:val="en-SG"/>
              </w:rPr>
              <w:t>Nurshafinaz Mohd Maruai</w:t>
            </w:r>
            <w:r w:rsidRPr="0024372F">
              <w:rPr>
                <w:rFonts w:eastAsia="Times New Roman" w:cs="Calibri"/>
                <w:iCs/>
                <w:sz w:val="24"/>
                <w:szCs w:val="24"/>
                <w:vertAlign w:val="superscript"/>
                <w:lang w:val="en-SG"/>
              </w:rPr>
              <w:t>1</w:t>
            </w:r>
            <w:r w:rsidRPr="0024372F">
              <w:rPr>
                <w:rFonts w:eastAsia="Times New Roman" w:cs="Calibri"/>
                <w:iCs/>
                <w:sz w:val="24"/>
                <w:szCs w:val="24"/>
                <w:lang w:val="en-SG"/>
              </w:rPr>
              <w:t>, Mohamed Sukri Mat Ali</w:t>
            </w:r>
            <w:r w:rsidRPr="0024372F">
              <w:rPr>
                <w:rFonts w:eastAsia="Times New Roman" w:cs="Calibri"/>
                <w:iCs/>
                <w:sz w:val="24"/>
                <w:szCs w:val="24"/>
                <w:vertAlign w:val="superscript"/>
                <w:lang w:val="en-SG"/>
              </w:rPr>
              <w:t>1</w:t>
            </w:r>
            <w:r w:rsidRPr="0024372F">
              <w:rPr>
                <w:rFonts w:eastAsia="Times New Roman" w:cs="Calibri"/>
                <w:iCs/>
                <w:sz w:val="24"/>
                <w:szCs w:val="24"/>
                <w:lang w:val="en-SG"/>
              </w:rPr>
              <w:t>, Ahmad Faiz Mohammad</w:t>
            </w:r>
            <w:r w:rsidRPr="0024372F">
              <w:rPr>
                <w:rFonts w:eastAsia="Times New Roman" w:cs="Calibri"/>
                <w:iCs/>
                <w:sz w:val="24"/>
                <w:szCs w:val="24"/>
                <w:vertAlign w:val="superscript"/>
                <w:lang w:val="en-SG"/>
              </w:rPr>
              <w:t>1</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922CF">
        <w:trPr>
          <w:gridAfter w:val="1"/>
          <w:wAfter w:w="27"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71" w:type="dxa"/>
            <w:gridSpan w:val="4"/>
            <w:tcBorders>
              <w:top w:val="nil"/>
              <w:left w:val="nil"/>
              <w:bottom w:val="nil"/>
            </w:tcBorders>
          </w:tcPr>
          <w:p w14:paraId="651D1F33" w14:textId="6E9F9073" w:rsidR="00351F89" w:rsidRPr="00CA466E" w:rsidRDefault="0024372F" w:rsidP="008E5C16">
            <w:pPr>
              <w:ind w:left="-115"/>
              <w:rPr>
                <w:rFonts w:eastAsia="Times New Roman" w:cs="Times New Roman"/>
                <w:sz w:val="16"/>
                <w:szCs w:val="16"/>
              </w:rPr>
            </w:pPr>
            <w:r w:rsidRPr="00E94921">
              <w:rPr>
                <w:rFonts w:eastAsia="Times New Roman" w:cs="Calibri"/>
                <w:sz w:val="16"/>
                <w:szCs w:val="16"/>
                <w:lang w:val="fr-FR"/>
              </w:rPr>
              <w:t>Malaysia–Japan International Institute of Technology (MJIIT), Universiti Teknologi Malaysia</w:t>
            </w:r>
            <w:r>
              <w:rPr>
                <w:rFonts w:eastAsia="Times New Roman" w:cs="Calibri"/>
                <w:sz w:val="16"/>
                <w:szCs w:val="16"/>
                <w:lang w:val="fr-FR"/>
              </w:rPr>
              <w:t xml:space="preserve">, </w:t>
            </w:r>
            <w:r w:rsidRPr="00E94921">
              <w:rPr>
                <w:rFonts w:eastAsia="Times New Roman" w:cs="Calibri"/>
                <w:sz w:val="16"/>
                <w:szCs w:val="16"/>
                <w:lang w:val="fr-FR"/>
              </w:rPr>
              <w:t>Jalan Sultan Yahya Petra</w:t>
            </w:r>
            <w:r>
              <w:rPr>
                <w:rFonts w:eastAsia="Times New Roman" w:cs="Calibri"/>
                <w:sz w:val="16"/>
                <w:szCs w:val="16"/>
                <w:lang w:val="fr-FR"/>
              </w:rPr>
              <w:t xml:space="preserve">, </w:t>
            </w:r>
            <w:r w:rsidRPr="00E94921">
              <w:rPr>
                <w:rFonts w:eastAsia="Times New Roman" w:cs="Calibri"/>
                <w:sz w:val="16"/>
                <w:szCs w:val="16"/>
                <w:lang w:val="fr-FR"/>
              </w:rPr>
              <w:t>54100</w:t>
            </w:r>
            <w:r>
              <w:rPr>
                <w:rFonts w:eastAsia="Times New Roman" w:cs="Calibri"/>
                <w:sz w:val="16"/>
                <w:szCs w:val="16"/>
                <w:lang w:val="fr-FR"/>
              </w:rPr>
              <w:t xml:space="preserve"> </w:t>
            </w:r>
            <w:r w:rsidRPr="00E94921">
              <w:rPr>
                <w:rFonts w:eastAsia="Times New Roman" w:cs="Calibri"/>
                <w:sz w:val="16"/>
                <w:szCs w:val="16"/>
                <w:lang w:val="fr-FR"/>
              </w:rPr>
              <w:t>Kuala Lumpur</w:t>
            </w:r>
            <w:r>
              <w:rPr>
                <w:rFonts w:eastAsia="Times New Roman" w:cs="Calibri"/>
                <w:sz w:val="16"/>
                <w:szCs w:val="16"/>
                <w:lang w:val="fr-FR"/>
              </w:rPr>
              <w:t xml:space="preserve">, </w:t>
            </w:r>
            <w:r w:rsidRPr="00E94921">
              <w:rPr>
                <w:rFonts w:eastAsia="Times New Roman" w:cs="Calibri"/>
                <w:sz w:val="16"/>
                <w:szCs w:val="16"/>
                <w:lang w:val="fr-FR"/>
              </w:rPr>
              <w:t>Malaysia</w:t>
            </w:r>
          </w:p>
        </w:tc>
      </w:tr>
      <w:tr w:rsidR="008E4DEC" w14:paraId="7BF997C7" w14:textId="77777777" w:rsidTr="009922CF">
        <w:trPr>
          <w:gridAfter w:val="1"/>
          <w:wAfter w:w="27"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71" w:type="dxa"/>
            <w:gridSpan w:val="4"/>
            <w:tcBorders>
              <w:top w:val="nil"/>
              <w:left w:val="nil"/>
              <w:bottom w:val="nil"/>
            </w:tcBorders>
          </w:tcPr>
          <w:p w14:paraId="71343C48" w14:textId="68131FDF" w:rsidR="00466763" w:rsidRPr="0024372F" w:rsidRDefault="0024372F" w:rsidP="0024372F">
            <w:pPr>
              <w:ind w:left="-115"/>
              <w:rPr>
                <w:rFonts w:eastAsia="Times New Roman" w:cs="Calibri"/>
                <w:sz w:val="16"/>
                <w:szCs w:val="16"/>
                <w:lang w:val="en-MY"/>
              </w:rPr>
            </w:pPr>
            <w:r w:rsidRPr="00CF2EA5">
              <w:rPr>
                <w:rFonts w:eastAsia="Times New Roman" w:cs="Calibri"/>
                <w:sz w:val="16"/>
                <w:szCs w:val="16"/>
                <w:lang w:val="en-MY"/>
              </w:rPr>
              <w:t xml:space="preserve">Faculty of Systems and Information </w:t>
            </w:r>
            <w:r w:rsidRPr="00B44362">
              <w:rPr>
                <w:rFonts w:eastAsia="Times New Roman" w:cs="Calibri"/>
                <w:sz w:val="16"/>
                <w:szCs w:val="16"/>
                <w:lang w:val="en-MY"/>
              </w:rPr>
              <w:t>Engineering, University of Tsukuba, Tsukuba 305-8573, Japan</w:t>
            </w:r>
          </w:p>
        </w:tc>
      </w:tr>
      <w:tr w:rsidR="0024372F" w14:paraId="20AFEE2C" w14:textId="77777777" w:rsidTr="009922CF">
        <w:trPr>
          <w:gridAfter w:val="1"/>
          <w:wAfter w:w="27" w:type="dxa"/>
          <w:trHeight w:val="20"/>
          <w:jc w:val="center"/>
        </w:trPr>
        <w:tc>
          <w:tcPr>
            <w:tcW w:w="236" w:type="dxa"/>
            <w:tcBorders>
              <w:top w:val="nil"/>
              <w:bottom w:val="nil"/>
              <w:right w:val="nil"/>
            </w:tcBorders>
          </w:tcPr>
          <w:p w14:paraId="42E34743" w14:textId="1850C00A" w:rsidR="0024372F" w:rsidRDefault="0024372F"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3</w:t>
            </w:r>
          </w:p>
        </w:tc>
        <w:tc>
          <w:tcPr>
            <w:tcW w:w="9471" w:type="dxa"/>
            <w:gridSpan w:val="4"/>
            <w:tcBorders>
              <w:top w:val="nil"/>
              <w:left w:val="nil"/>
              <w:bottom w:val="nil"/>
            </w:tcBorders>
          </w:tcPr>
          <w:p w14:paraId="2431AC69" w14:textId="604E0A6D" w:rsidR="0024372F" w:rsidRPr="0024372F" w:rsidRDefault="0024372F" w:rsidP="0024372F">
            <w:pPr>
              <w:ind w:left="-115"/>
              <w:rPr>
                <w:rFonts w:eastAsia="Times New Roman" w:cs="Calibri"/>
                <w:sz w:val="16"/>
                <w:szCs w:val="16"/>
                <w:lang w:val="fr-FR"/>
              </w:rPr>
            </w:pPr>
            <w:r w:rsidRPr="00B44362">
              <w:rPr>
                <w:rFonts w:eastAsia="Times New Roman" w:cs="Calibri"/>
                <w:sz w:val="16"/>
                <w:szCs w:val="16"/>
                <w:lang w:val="fr-FR"/>
              </w:rPr>
              <w:t>Centre for Global Archaeology Research (CGAR), Universiti Sains Malaysia, 11800</w:t>
            </w:r>
            <w:r>
              <w:rPr>
                <w:rFonts w:eastAsia="Times New Roman" w:cs="Calibri"/>
                <w:sz w:val="16"/>
                <w:szCs w:val="16"/>
                <w:lang w:val="fr-FR"/>
              </w:rPr>
              <w:t xml:space="preserve"> Pulau Pinang, Malaysia</w:t>
            </w:r>
          </w:p>
        </w:tc>
      </w:tr>
      <w:tr w:rsidR="008E4DEC" w14:paraId="1892B2E8" w14:textId="77777777" w:rsidTr="009922CF">
        <w:trPr>
          <w:gridAfter w:val="1"/>
          <w:wAfter w:w="27"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71"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922CF">
        <w:tblPrEx>
          <w:tblBorders>
            <w:bottom w:val="single" w:sz="4" w:space="0" w:color="auto"/>
            <w:insideV w:val="none" w:sz="0" w:space="0" w:color="auto"/>
          </w:tblBorders>
        </w:tblPrEx>
        <w:trPr>
          <w:jc w:val="center"/>
        </w:trPr>
        <w:tc>
          <w:tcPr>
            <w:tcW w:w="3171"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563"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922CF">
        <w:tblPrEx>
          <w:tblBorders>
            <w:bottom w:val="single" w:sz="4" w:space="0" w:color="auto"/>
            <w:insideV w:val="none" w:sz="0" w:space="0" w:color="auto"/>
          </w:tblBorders>
        </w:tblPrEx>
        <w:trPr>
          <w:jc w:val="center"/>
        </w:trPr>
        <w:tc>
          <w:tcPr>
            <w:tcW w:w="3171"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75A892CD" w:rsidR="009046E8" w:rsidRPr="00D41580" w:rsidRDefault="009046E8" w:rsidP="00355F5B">
            <w:pPr>
              <w:rPr>
                <w:color w:val="000000" w:themeColor="text1"/>
                <w:sz w:val="16"/>
                <w:szCs w:val="16"/>
              </w:rPr>
            </w:pPr>
            <w:r w:rsidRPr="00D41580">
              <w:rPr>
                <w:color w:val="000000" w:themeColor="text1"/>
                <w:sz w:val="16"/>
                <w:szCs w:val="16"/>
              </w:rPr>
              <w:t>Received</w:t>
            </w:r>
            <w:r w:rsidR="002313CB">
              <w:rPr>
                <w:color w:val="000000" w:themeColor="text1"/>
                <w:sz w:val="16"/>
                <w:szCs w:val="16"/>
              </w:rPr>
              <w:t xml:space="preserve"> 25 March 2024</w:t>
            </w:r>
          </w:p>
          <w:p w14:paraId="32976F0B" w14:textId="4099DB71" w:rsidR="009046E8" w:rsidRPr="00D41580" w:rsidRDefault="009046E8" w:rsidP="00355F5B">
            <w:pPr>
              <w:rPr>
                <w:color w:val="000000" w:themeColor="text1"/>
                <w:sz w:val="16"/>
                <w:szCs w:val="16"/>
              </w:rPr>
            </w:pPr>
            <w:r w:rsidRPr="00D41580">
              <w:rPr>
                <w:color w:val="000000" w:themeColor="text1"/>
                <w:sz w:val="16"/>
                <w:szCs w:val="16"/>
              </w:rPr>
              <w:t>Received in revised form</w:t>
            </w:r>
            <w:r w:rsidR="002313CB">
              <w:rPr>
                <w:color w:val="000000" w:themeColor="text1"/>
                <w:sz w:val="16"/>
                <w:szCs w:val="16"/>
              </w:rPr>
              <w:t xml:space="preserve"> 3 May 2024</w:t>
            </w:r>
          </w:p>
          <w:p w14:paraId="768BB4A3" w14:textId="411E458C" w:rsidR="009046E8" w:rsidRPr="00D41580" w:rsidRDefault="009046E8" w:rsidP="00355F5B">
            <w:pPr>
              <w:rPr>
                <w:color w:val="000000" w:themeColor="text1"/>
                <w:sz w:val="16"/>
                <w:szCs w:val="16"/>
              </w:rPr>
            </w:pPr>
            <w:r w:rsidRPr="00D41580">
              <w:rPr>
                <w:color w:val="000000" w:themeColor="text1"/>
                <w:sz w:val="16"/>
                <w:szCs w:val="16"/>
              </w:rPr>
              <w:t>Accepted</w:t>
            </w:r>
            <w:r w:rsidR="002313CB">
              <w:rPr>
                <w:color w:val="000000" w:themeColor="text1"/>
                <w:sz w:val="16"/>
                <w:szCs w:val="16"/>
              </w:rPr>
              <w:t xml:space="preserve"> 26 May 2024</w:t>
            </w:r>
          </w:p>
          <w:p w14:paraId="689DC188" w14:textId="76B9858B" w:rsidR="009046E8" w:rsidRPr="007862A5" w:rsidRDefault="009046E8" w:rsidP="000F794A">
            <w:pPr>
              <w:spacing w:after="120"/>
              <w:rPr>
                <w:sz w:val="18"/>
                <w:szCs w:val="18"/>
              </w:rPr>
            </w:pPr>
            <w:r w:rsidRPr="00D41580">
              <w:rPr>
                <w:color w:val="000000" w:themeColor="text1"/>
                <w:sz w:val="16"/>
                <w:szCs w:val="16"/>
              </w:rPr>
              <w:t>Available online</w:t>
            </w:r>
            <w:r w:rsidR="002313CB">
              <w:rPr>
                <w:color w:val="000000" w:themeColor="text1"/>
                <w:sz w:val="16"/>
                <w:szCs w:val="16"/>
              </w:rPr>
              <w:t xml:space="preserve"> 30 June 2024</w:t>
            </w:r>
          </w:p>
        </w:tc>
        <w:tc>
          <w:tcPr>
            <w:tcW w:w="6563" w:type="dxa"/>
            <w:gridSpan w:val="3"/>
            <w:vMerge w:val="restart"/>
            <w:tcBorders>
              <w:top w:val="single" w:sz="12" w:space="0" w:color="auto"/>
            </w:tcBorders>
          </w:tcPr>
          <w:p w14:paraId="0716630A" w14:textId="2E63B84C" w:rsidR="009046E8" w:rsidRPr="00A827BB" w:rsidRDefault="0024372F" w:rsidP="002027A9">
            <w:pPr>
              <w:spacing w:before="120" w:after="120"/>
              <w:jc w:val="both"/>
              <w:rPr>
                <w:sz w:val="18"/>
                <w:szCs w:val="18"/>
              </w:rPr>
            </w:pPr>
            <w:r w:rsidRPr="00BF1C7E">
              <w:rPr>
                <w:rFonts w:cs="Calibri"/>
                <w:sz w:val="18"/>
                <w:szCs w:val="18"/>
                <w:lang w:val="en-SG"/>
              </w:rPr>
              <w:t xml:space="preserve">This research proposed a novel method for evaluating the ideal spectral wavelength by integrating the aerial remote sensing image and geophysical techniques to improve the detection of buried archaeological proxies </w:t>
            </w:r>
            <w:r>
              <w:rPr>
                <w:rFonts w:cs="Calibri"/>
                <w:sz w:val="18"/>
                <w:szCs w:val="18"/>
                <w:lang w:val="en-SG"/>
              </w:rPr>
              <w:t>via</w:t>
            </w:r>
            <w:r w:rsidRPr="00BF1C7E">
              <w:rPr>
                <w:rFonts w:cs="Calibri"/>
                <w:sz w:val="18"/>
                <w:szCs w:val="18"/>
                <w:lang w:val="en-SG"/>
              </w:rPr>
              <w:t xml:space="preserve"> the spectral </w:t>
            </w:r>
            <w:r w:rsidRPr="00216C2A">
              <w:rPr>
                <w:rFonts w:cs="Calibri"/>
                <w:sz w:val="18"/>
                <w:szCs w:val="18"/>
                <w:lang w:val="en-SG"/>
              </w:rPr>
              <w:t>wavelength</w:t>
            </w:r>
            <w:r>
              <w:rPr>
                <w:rFonts w:cs="Calibri"/>
                <w:sz w:val="18"/>
                <w:szCs w:val="18"/>
                <w:lang w:val="en-SG"/>
              </w:rPr>
              <w:t xml:space="preserve">. </w:t>
            </w:r>
            <w:r w:rsidRPr="00216C2A">
              <w:rPr>
                <w:rFonts w:cs="Calibri"/>
                <w:sz w:val="18"/>
                <w:szCs w:val="18"/>
                <w:lang w:val="en-SG"/>
              </w:rPr>
              <w:t xml:space="preserve">Eight different wavelength ranges were compared to eight distinct spectral indices </w:t>
            </w:r>
            <w:r>
              <w:rPr>
                <w:rFonts w:cs="Calibri"/>
                <w:sz w:val="18"/>
                <w:szCs w:val="18"/>
                <w:lang w:val="en-SG"/>
              </w:rPr>
              <w:t>to conduct a more thorough vegetation analysis</w:t>
            </w:r>
            <w:r w:rsidRPr="00216C2A">
              <w:rPr>
                <w:rFonts w:cs="Calibri"/>
                <w:sz w:val="18"/>
                <w:szCs w:val="18"/>
                <w:lang w:val="en-SG"/>
              </w:rPr>
              <w:t>.</w:t>
            </w:r>
            <w:r>
              <w:rPr>
                <w:rFonts w:cs="Calibri"/>
                <w:sz w:val="18"/>
                <w:szCs w:val="18"/>
                <w:lang w:val="en-SG"/>
              </w:rPr>
              <w:t xml:space="preserve"> </w:t>
            </w:r>
            <w:r w:rsidRPr="009B3502">
              <w:rPr>
                <w:rFonts w:cs="Calibri"/>
                <w:sz w:val="18"/>
                <w:szCs w:val="18"/>
                <w:lang w:val="en-SG"/>
              </w:rPr>
              <w:t xml:space="preserve">The spectral information from eight </w:t>
            </w:r>
            <w:r>
              <w:rPr>
                <w:rFonts w:cs="Calibri"/>
                <w:sz w:val="18"/>
                <w:szCs w:val="18"/>
                <w:lang w:val="en-SG"/>
              </w:rPr>
              <w:t>va</w:t>
            </w:r>
            <w:r>
              <w:rPr>
                <w:rFonts w:cs="Calibri"/>
                <w:sz w:val="18"/>
                <w:szCs w:val="18"/>
              </w:rPr>
              <w:t>rious</w:t>
            </w:r>
            <w:r w:rsidRPr="009B3502">
              <w:rPr>
                <w:rFonts w:cs="Calibri"/>
                <w:sz w:val="18"/>
                <w:szCs w:val="18"/>
                <w:lang w:val="en-SG"/>
              </w:rPr>
              <w:t xml:space="preserve"> Vegetation Indices and two types of resistivity data was then analyzed using a Linear Regression mod</w:t>
            </w:r>
            <w:r w:rsidRPr="00A05466">
              <w:rPr>
                <w:rFonts w:cs="Calibri"/>
                <w:sz w:val="18"/>
                <w:szCs w:val="18"/>
                <w:lang w:val="en-SG"/>
              </w:rPr>
              <w:t>el.</w:t>
            </w:r>
            <w:r>
              <w:rPr>
                <w:rFonts w:cs="Calibri"/>
                <w:sz w:val="18"/>
                <w:szCs w:val="18"/>
                <w:lang w:val="en-SG"/>
              </w:rPr>
              <w:t xml:space="preserve"> </w:t>
            </w:r>
            <w:r w:rsidRPr="00A05466">
              <w:rPr>
                <w:rFonts w:cs="Calibri"/>
                <w:sz w:val="18"/>
                <w:szCs w:val="18"/>
                <w:lang w:val="en-SG"/>
              </w:rPr>
              <w:t xml:space="preserve">Then, the novel "Constant Experimental Evaluation" method (CEE)  was developed to improve the preliminary result. Subsequently, the results outlined newly </w:t>
            </w:r>
            <w:r>
              <w:rPr>
                <w:rFonts w:cs="Calibri"/>
                <w:sz w:val="18"/>
                <w:szCs w:val="18"/>
                <w:lang w:val="en-SG"/>
              </w:rPr>
              <w:t>optimal</w:t>
            </w:r>
            <w:r w:rsidRPr="00A05466">
              <w:rPr>
                <w:rFonts w:cs="Calibri"/>
                <w:sz w:val="18"/>
                <w:szCs w:val="18"/>
                <w:lang w:val="en-SG"/>
              </w:rPr>
              <w:t xml:space="preserve"> spectral wavelengths by enhancing</w:t>
            </w:r>
            <w:r>
              <w:rPr>
                <w:rFonts w:cs="Calibri"/>
                <w:sz w:val="18"/>
                <w:szCs w:val="18"/>
                <w:lang w:val="en-SG"/>
              </w:rPr>
              <w:t xml:space="preserve"> </w:t>
            </w:r>
            <w:r w:rsidRPr="00A05466">
              <w:rPr>
                <w:rFonts w:cs="Calibri"/>
                <w:sz w:val="18"/>
                <w:szCs w:val="18"/>
                <w:lang w:val="en-SG"/>
              </w:rPr>
              <w:t xml:space="preserve">correlation coefficient </w:t>
            </w:r>
            <w:r w:rsidRPr="008626B4">
              <w:rPr>
                <w:rFonts w:cs="Calibri"/>
                <w:i/>
                <w:iCs/>
                <w:sz w:val="18"/>
                <w:szCs w:val="18"/>
                <w:lang w:val="en-SG"/>
              </w:rPr>
              <w:t>R</w:t>
            </w:r>
            <w:r w:rsidRPr="008626B4">
              <w:rPr>
                <w:rFonts w:cs="Calibri"/>
                <w:sz w:val="18"/>
                <w:szCs w:val="18"/>
                <w:vertAlign w:val="superscript"/>
                <w:lang w:val="en-SG"/>
              </w:rPr>
              <w:t>2</w:t>
            </w:r>
            <w:r w:rsidRPr="00A05466">
              <w:rPr>
                <w:rFonts w:cs="Calibri"/>
                <w:sz w:val="18"/>
                <w:szCs w:val="18"/>
                <w:lang w:val="en-SG"/>
              </w:rPr>
              <w:t xml:space="preserve"> values</w:t>
            </w:r>
            <w:r>
              <w:rPr>
                <w:rFonts w:cs="Calibri"/>
                <w:sz w:val="18"/>
                <w:szCs w:val="18"/>
                <w:lang w:val="en-SG"/>
              </w:rPr>
              <w:t xml:space="preserve">, </w:t>
            </w:r>
            <w:r w:rsidRPr="00A05466">
              <w:rPr>
                <w:rFonts w:cs="Calibri"/>
                <w:sz w:val="18"/>
                <w:szCs w:val="18"/>
                <w:lang w:val="en-SG"/>
              </w:rPr>
              <w:t>before</w:t>
            </w:r>
            <w:r>
              <w:rPr>
                <w:rFonts w:cs="Calibri"/>
                <w:sz w:val="18"/>
                <w:szCs w:val="18"/>
                <w:lang w:val="en-SG"/>
              </w:rPr>
              <w:t xml:space="preserve"> (</w:t>
            </w:r>
            <w:r w:rsidRPr="008626B4">
              <w:rPr>
                <w:rFonts w:cs="Calibri"/>
                <w:i/>
                <w:iCs/>
                <w:sz w:val="18"/>
                <w:szCs w:val="18"/>
                <w:lang w:val="en-SG"/>
              </w:rPr>
              <w:t>R</w:t>
            </w:r>
            <w:r w:rsidRPr="008626B4">
              <w:rPr>
                <w:rFonts w:cs="Calibri"/>
                <w:sz w:val="18"/>
                <w:szCs w:val="18"/>
                <w:vertAlign w:val="superscript"/>
                <w:lang w:val="en-SG"/>
              </w:rPr>
              <w:t>2</w:t>
            </w:r>
            <w:r w:rsidRPr="008626B4">
              <w:rPr>
                <w:rFonts w:cs="Calibri"/>
                <w:sz w:val="18"/>
                <w:szCs w:val="18"/>
                <w:lang w:val="en-SG"/>
              </w:rPr>
              <w:t>=0.595</w:t>
            </w:r>
            <w:r>
              <w:rPr>
                <w:rFonts w:cs="Calibri"/>
                <w:sz w:val="18"/>
                <w:szCs w:val="18"/>
                <w:lang w:val="en-SG"/>
              </w:rPr>
              <w:t>)</w:t>
            </w:r>
            <w:r w:rsidRPr="00A05466">
              <w:rPr>
                <w:rFonts w:cs="Calibri"/>
                <w:sz w:val="18"/>
                <w:szCs w:val="18"/>
                <w:lang w:val="en-SG"/>
              </w:rPr>
              <w:t xml:space="preserve"> </w:t>
            </w:r>
            <w:r>
              <w:rPr>
                <w:rFonts w:cs="Calibri"/>
                <w:sz w:val="18"/>
                <w:szCs w:val="18"/>
                <w:lang w:val="en-SG"/>
              </w:rPr>
              <w:t>to</w:t>
            </w:r>
            <w:r w:rsidRPr="00A05466">
              <w:rPr>
                <w:rFonts w:cs="Calibri"/>
                <w:sz w:val="18"/>
                <w:szCs w:val="18"/>
                <w:lang w:val="en-SG"/>
              </w:rPr>
              <w:t xml:space="preserve"> </w:t>
            </w:r>
            <w:r>
              <w:rPr>
                <w:rFonts w:cs="Calibri"/>
                <w:sz w:val="18"/>
                <w:szCs w:val="18"/>
                <w:lang w:val="en-SG"/>
              </w:rPr>
              <w:t>(</w:t>
            </w:r>
            <w:r w:rsidRPr="008626B4">
              <w:rPr>
                <w:rFonts w:cs="Calibri"/>
                <w:i/>
                <w:iCs/>
                <w:sz w:val="18"/>
                <w:szCs w:val="18"/>
                <w:lang w:val="en-SG"/>
              </w:rPr>
              <w:t>R</w:t>
            </w:r>
            <w:r w:rsidRPr="008626B4">
              <w:rPr>
                <w:rFonts w:cs="Calibri"/>
                <w:sz w:val="18"/>
                <w:szCs w:val="18"/>
                <w:vertAlign w:val="superscript"/>
                <w:lang w:val="en-SG"/>
              </w:rPr>
              <w:t>2</w:t>
            </w:r>
            <w:r w:rsidRPr="008626B4">
              <w:rPr>
                <w:rFonts w:cs="Calibri"/>
                <w:sz w:val="18"/>
                <w:szCs w:val="18"/>
                <w:lang w:val="en-SG"/>
              </w:rPr>
              <w:t>=0.</w:t>
            </w:r>
            <w:r>
              <w:rPr>
                <w:rFonts w:cs="Calibri"/>
                <w:sz w:val="18"/>
                <w:szCs w:val="18"/>
                <w:lang w:val="en-SG"/>
              </w:rPr>
              <w:t xml:space="preserve">86) </w:t>
            </w:r>
            <w:r w:rsidRPr="00A05466">
              <w:rPr>
                <w:rFonts w:cs="Calibri"/>
                <w:sz w:val="18"/>
                <w:szCs w:val="18"/>
                <w:lang w:val="en-SG"/>
              </w:rPr>
              <w:t>after CEE application</w:t>
            </w:r>
            <w:r>
              <w:rPr>
                <w:rFonts w:cs="Calibri"/>
                <w:sz w:val="18"/>
                <w:szCs w:val="18"/>
                <w:lang w:val="en-SG"/>
              </w:rPr>
              <w:t>, with the s</w:t>
            </w:r>
            <w:r w:rsidRPr="008626B4">
              <w:rPr>
                <w:rFonts w:cs="Calibri"/>
                <w:sz w:val="18"/>
                <w:szCs w:val="18"/>
                <w:lang w:val="en-SG"/>
              </w:rPr>
              <w:t>pectral wavelengths values of (NIR</w:t>
            </w:r>
            <w:r w:rsidRPr="008626B4">
              <w:rPr>
                <w:rFonts w:cs="Calibri"/>
                <w:sz w:val="18"/>
                <w:szCs w:val="18"/>
                <w:vertAlign w:val="subscript"/>
                <w:lang w:val="en-SG"/>
              </w:rPr>
              <w:t>new</w:t>
            </w:r>
            <w:r w:rsidRPr="008626B4">
              <w:rPr>
                <w:rFonts w:cs="Calibri"/>
                <w:sz w:val="18"/>
                <w:szCs w:val="18"/>
                <w:lang w:val="en-SG"/>
              </w:rPr>
              <w:t>=0.783µm) and (Red</w:t>
            </w:r>
            <w:r w:rsidRPr="008626B4">
              <w:rPr>
                <w:rFonts w:cs="Calibri"/>
                <w:sz w:val="18"/>
                <w:szCs w:val="18"/>
                <w:vertAlign w:val="subscript"/>
                <w:lang w:val="en-SG"/>
              </w:rPr>
              <w:t>new</w:t>
            </w:r>
            <w:r w:rsidRPr="008626B4">
              <w:rPr>
                <w:rFonts w:cs="Calibri"/>
                <w:sz w:val="18"/>
                <w:szCs w:val="18"/>
                <w:lang w:val="en-SG"/>
              </w:rPr>
              <w:t>=0.627µm) along with the 50% of image enhancement</w:t>
            </w:r>
            <w:r>
              <w:rPr>
                <w:rFonts w:cs="Calibri"/>
                <w:sz w:val="18"/>
                <w:szCs w:val="18"/>
                <w:lang w:val="en-SG"/>
              </w:rPr>
              <w:t>. It</w:t>
            </w:r>
            <w:r w:rsidRPr="00A05466">
              <w:rPr>
                <w:rFonts w:cs="Calibri"/>
                <w:sz w:val="18"/>
                <w:szCs w:val="18"/>
                <w:lang w:val="en-SG"/>
              </w:rPr>
              <w:t xml:space="preserve"> suggests that the technique </w:t>
            </w:r>
            <w:r>
              <w:rPr>
                <w:rFonts w:cs="Calibri"/>
                <w:sz w:val="18"/>
                <w:szCs w:val="18"/>
                <w:lang w:val="en-SG"/>
              </w:rPr>
              <w:t>may be significant to</w:t>
            </w:r>
            <w:r w:rsidRPr="00A05466">
              <w:rPr>
                <w:rFonts w:cs="Calibri"/>
                <w:sz w:val="18"/>
                <w:szCs w:val="18"/>
                <w:lang w:val="en-SG"/>
              </w:rPr>
              <w:t xml:space="preserve"> </w:t>
            </w:r>
            <w:r>
              <w:rPr>
                <w:rFonts w:cs="Calibri"/>
                <w:sz w:val="18"/>
                <w:szCs w:val="18"/>
                <w:lang w:val="en-SG"/>
              </w:rPr>
              <w:t>a</w:t>
            </w:r>
            <w:r>
              <w:rPr>
                <w:rFonts w:cs="Calibri"/>
                <w:sz w:val="18"/>
                <w:szCs w:val="18"/>
              </w:rPr>
              <w:t xml:space="preserve">ny </w:t>
            </w:r>
            <w:r w:rsidRPr="00A05466">
              <w:rPr>
                <w:rFonts w:cs="Calibri"/>
                <w:sz w:val="18"/>
                <w:szCs w:val="18"/>
                <w:lang w:val="en-SG"/>
              </w:rPr>
              <w:t>archaeological site that presents spectrally differently from its immediate environment.</w:t>
            </w:r>
          </w:p>
        </w:tc>
      </w:tr>
      <w:tr w:rsidR="008E4DEC" w:rsidRPr="007862A5" w14:paraId="30ECE3CF" w14:textId="77777777" w:rsidTr="009922CF">
        <w:tblPrEx>
          <w:tblBorders>
            <w:bottom w:val="single" w:sz="4" w:space="0" w:color="auto"/>
            <w:insideV w:val="none" w:sz="0" w:space="0" w:color="auto"/>
          </w:tblBorders>
        </w:tblPrEx>
        <w:trPr>
          <w:jc w:val="center"/>
        </w:trPr>
        <w:tc>
          <w:tcPr>
            <w:tcW w:w="3171" w:type="dxa"/>
            <w:gridSpan w:val="3"/>
            <w:tcBorders>
              <w:top w:val="nil"/>
              <w:bottom w:val="nil"/>
            </w:tcBorders>
            <w:vAlign w:val="center"/>
          </w:tcPr>
          <w:p w14:paraId="7F22E997" w14:textId="4DCD4082" w:rsidR="009046E8" w:rsidRPr="00EE0FAA" w:rsidRDefault="009046E8" w:rsidP="00927675">
            <w:pPr>
              <w:rPr>
                <w:b/>
                <w:bCs/>
                <w:i/>
                <w:iCs/>
                <w:sz w:val="18"/>
                <w:szCs w:val="18"/>
              </w:rPr>
            </w:pPr>
          </w:p>
        </w:tc>
        <w:tc>
          <w:tcPr>
            <w:tcW w:w="6563"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2027A9">
        <w:tblPrEx>
          <w:tblBorders>
            <w:bottom w:val="single" w:sz="4" w:space="0" w:color="auto"/>
            <w:insideV w:val="none" w:sz="0" w:space="0" w:color="auto"/>
          </w:tblBorders>
        </w:tblPrEx>
        <w:trPr>
          <w:jc w:val="center"/>
        </w:trPr>
        <w:tc>
          <w:tcPr>
            <w:tcW w:w="3171" w:type="dxa"/>
            <w:gridSpan w:val="3"/>
            <w:tcBorders>
              <w:top w:val="nil"/>
              <w:bottom w:val="single" w:sz="12" w:space="0" w:color="auto"/>
            </w:tcBorders>
            <w:vAlign w:val="bottom"/>
          </w:tcPr>
          <w:p w14:paraId="7DF345E6" w14:textId="77777777" w:rsidR="002027A9" w:rsidRDefault="002027A9" w:rsidP="002027A9">
            <w:pPr>
              <w:rPr>
                <w:b/>
                <w:bCs/>
                <w:i/>
                <w:iCs/>
                <w:sz w:val="18"/>
                <w:szCs w:val="18"/>
              </w:rPr>
            </w:pPr>
            <w:r w:rsidRPr="00EE0FAA">
              <w:rPr>
                <w:b/>
                <w:bCs/>
                <w:i/>
                <w:iCs/>
                <w:sz w:val="18"/>
                <w:szCs w:val="18"/>
              </w:rPr>
              <w:t>Keywords:</w:t>
            </w:r>
          </w:p>
          <w:p w14:paraId="0AEC3A05" w14:textId="23BBFD5B" w:rsidR="009046E8" w:rsidRPr="007862A5" w:rsidRDefault="0024372F" w:rsidP="002027A9">
            <w:pPr>
              <w:spacing w:after="120"/>
              <w:rPr>
                <w:sz w:val="18"/>
                <w:szCs w:val="18"/>
              </w:rPr>
            </w:pPr>
            <w:r>
              <w:rPr>
                <w:rFonts w:cstheme="majorBidi"/>
                <w:color w:val="000000" w:themeColor="text1"/>
                <w:sz w:val="18"/>
                <w:szCs w:val="18"/>
                <w:lang w:val="en-SG"/>
              </w:rPr>
              <w:t>CEE Method; Optimal Spectral</w:t>
            </w:r>
            <w:r w:rsidRPr="00D20535">
              <w:rPr>
                <w:rFonts w:cstheme="majorBidi"/>
                <w:color w:val="000000" w:themeColor="text1"/>
                <w:sz w:val="18"/>
                <w:szCs w:val="18"/>
                <w:lang w:val="en-SG"/>
              </w:rPr>
              <w:t>;</w:t>
            </w:r>
            <w:r>
              <w:rPr>
                <w:rFonts w:cstheme="majorBidi"/>
                <w:color w:val="000000" w:themeColor="text1"/>
                <w:sz w:val="18"/>
                <w:szCs w:val="18"/>
                <w:lang w:val="en-SG"/>
              </w:rPr>
              <w:t xml:space="preserve"> Vegetation Indices; Spectral Analysis Remote Sensing</w:t>
            </w:r>
            <w:r w:rsidRPr="00D20535">
              <w:rPr>
                <w:rFonts w:cstheme="majorBidi"/>
                <w:color w:val="000000" w:themeColor="text1"/>
                <w:sz w:val="18"/>
                <w:szCs w:val="18"/>
                <w:lang w:val="en-SG"/>
              </w:rPr>
              <w:t xml:space="preserve">; </w:t>
            </w:r>
            <w:r>
              <w:rPr>
                <w:rFonts w:cstheme="majorBidi"/>
                <w:color w:val="000000" w:themeColor="text1"/>
                <w:sz w:val="18"/>
                <w:szCs w:val="18"/>
                <w:lang w:val="en-SG"/>
              </w:rPr>
              <w:t>Geophysical</w:t>
            </w:r>
          </w:p>
        </w:tc>
        <w:tc>
          <w:tcPr>
            <w:tcW w:w="6563"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30EB5E44" w14:textId="739F348E" w:rsidR="0024372F" w:rsidRPr="0024372F" w:rsidRDefault="0024372F" w:rsidP="002027A9">
      <w:pPr>
        <w:pStyle w:val="A"/>
      </w:pPr>
      <w:r w:rsidRPr="0024372F">
        <w:t xml:space="preserve">The accessibility and efficiency of technology have witnessed a revolutionary transition in recent years, providing a bewildering variety of new possibilities for finding and understanding archaeological landscapes. Researchers in archaeology and other disciplines have profited immensely by using aerial remote sensing and ground geophysical approaches in their exploration and study thanks to these advancements </w:t>
      </w:r>
      <w:r w:rsidRPr="0024372F">
        <w:fldChar w:fldCharType="begin" w:fldLock="1"/>
      </w:r>
      <w:r w:rsidRPr="0024372F">
        <w:instrText>ADDIN CSL_CITATION {"citationItems":[{"id":"ITEM-1","itemData":{"DOI":"10.1016/j.jasrep.2020.102553","ISSN":"2352409X","abstract":"This paper introduces a statistical method to identify spectral signatures of buried archaeological remains and distinguish them from spectra of the background soil in the visible to near infrared region. The proposed method is based on the Principal Component Analysis (PCA). The difference between an archaeological spectrum and non-archaeological soil spectra is quantified by a so-called R value. R values larger than 1 indicate that the spectrum represents an archaeological material. The method is successfully applied to samples from five study sites in Italy and Hungary with special conditions. The reflection spectra are taken in a time-efficient way with a field spectrometer. The method works best if background non-archaeological soil spectra are gathered from the same area, around the targeted archaeological site. Also, it can work without such local background spectra (but with lower accuracy) using background spectra from existing spectral libraries. This indicates that the method can, in principle, be applied to any archaeological site which is spectrally distinct from its surroundings. The paper highlights that this method does not require high spectral resolution and thus has the advantage of using low spectral resolution spectrometers which can eventually be applied for continuous 2D imaging applications with high temporal resolution. Additional studies are needed to further improve the method and to investigate under which conditions it works well or only with limited accuracy.","author":[{"dropping-particle":"","family":"Choi","given":"Y. J.","non-dropping-particle":"","parse-names":false,"suffix":""},{"dropping-particle":"","family":"Lampel","given":"J.","non-dropping-particle":"","parse-names":false,"suffix":""},{"dropping-particle":"","family":"Fiedler","given":"S.","non-dropping-particle":"","parse-names":false,"suffix":""},{"dropping-particle":"","family":"Jordan","given":"D.","non-dropping-particle":"","parse-names":false,"suffix":""},{"dropping-particle":"","family":"Wagner","given":"T.","non-dropping-particle":"","parse-names":false,"suffix":""}],"container-title":"Journal of Archaeological Science: Reports","id":"ITEM-1","issue":"April","issued":{"date-parts":[["2020"]]},"page":"102553","publisher":"Elsevier","title":"A new method for the identification of archaeological soils by their spectral signatures in the vis-NIR region","type":"article-journal","volume":"33"},"uris":["http://www.mendeley.com/documents/?uuid=314aba25-5aa9-48ce-85b7-5a47382c2d12"]},{"id":"ITEM-2","itemData":{"DOI":"10.1016/j.culher.2020.01.002","ISSN":"12962074","abstract":"The present study proposes a workflow to extract from orthomosaics the enormous amount of dry stones used by past societies to construct funeral complexes in the Mongolian steppes. Several different machine learning algorithms for binary pixel classification (i.e. stone vs non-stone) were evaluated. Input features were extracted from high-resolution orthomosaics and digital elevation models (both derived from aerial imaging). Comparative analysis used two colour spaces (RGB and HSV), texture features (contrast, homogeneity and entropy raster maps), and the topographic position index, combined with nine supervised learning algorithms (nearest centroid, naive Bayes, k-nearest neighbours, logistic regression, linear and quadratic discriminant analyses, support vector machine, random forest, and artificial neural network). When features are processed together, excellent output maps, very close to or outperforming current standards in archaeology, are observed for almost all classifiers. The size of the training set can be drastically reduced (to ca. 300 samples) by majority voting, while maintaining performance at the highest level (about 99.5% for all performance scores). Note, however, that if the training set is inadequate or not fully representative, the classification results are poor. That said, the methods applied and tested here are extremely rapid. Extensive mapping, which would have been difficult with traditional, manual, or semi-automatic delineation of stones using a vector graphics editor, now becomes possible. This workflow generally surpasses pedestrian surveys using differential GPS or a total station.","author":[{"dropping-particle":"","family":"Monna","given":"Fabrice","non-dropping-particle":"","parse-names":false,"suffix":""},{"dropping-particle":"","family":"Magail","given":"Jérôme","non-dropping-particle":"","parse-names":false,"suffix":""},{"dropping-particle":"","family":"Rolland","given":"Tanguy","non-dropping-particle":"","parse-names":false,"suffix":""},{"dropping-particle":"","family":"Navarro","given":"Nicolas","non-dropping-particle":"","parse-names":false,"suffix":""},{"dropping-particle":"","family":"Wilczek","given":"Josef","non-dropping-particle":"","parse-names":false,"suffix":""},{"dropping-particle":"","family":"Gantulga","given":"Jamiyan Ombo","non-dropping-particle":"","parse-names":false,"suffix":""},{"dropping-particle":"","family":"Esin","given":"Yury","non-dropping-particle":"","parse-names":false,"suffix":""},{"dropping-particle":"","family":"Granjon","given":"Ludovic","non-dropping-particle":"","parse-names":false,"suffix":""},{"dropping-particle":"","family":"Allard","given":"Anne Caroline","non-dropping-particle":"","parse-names":false,"suffix":""},{"dropping-particle":"","family":"Chateau-Smith","given":"Carmela","non-dropping-particle":"","parse-names":false,"suffix":""}],"container-title":"Journal of Cultural Heritage","id":"ITEM-2","issued":{"date-parts":[["2020"]]},"page":"118-128","publisher":"Elsevier Masson SAS","title":"Machine learning for rapid mapping of archaeological structures made of dry stones – Example of burial monuments from the Khirgisuur culture, Mongolia –","type":"article-journal","volume":"43"},"uris":["http://www.mendeley.com/documents/?uuid=7875ee2a-7210-4a2d-a03c-3961186283c7"]},{"id":"ITEM-3","itemData":{"DOI":"10.1088/1755-1315/540/1/012013","ISSN":"17551315","abstract":"The paper investigates the different approaches in identifying the buried archaeological properties by using two different technology platforms which are aerial remote sensing and ground-based physical sensing; geophysical techniques. Aerial remote sensing has exhibited great potential for archaeological observation and detection, contrasting to geophysical measurement which it's synonymous with geological investigation in Malaysia. On the other hand, by integrating these two platforms, it shows a high potential response depending on the technique apply. Two different perspectives of technology are examined, namely SPOT multispectral remote sensing satellite imagery and geophysical prospection called electric resistivity. In order to determine co-relationships of two variables; several Vegetation Index (satellite datasets) has been correlated to the resistivity (ground-based values) through regression analysis to show the strong connection between variables. The overall outcomes demonstrated that the data fusion technique and regression analysis applied towards multiple sensing datasets is useful to improve the accuracy (estimation) and minimize the error probability in identifying the buried archaeological remains. This research then will be expanded further to explore the capabilities of geophysical technique with another potential platform in identifying the buried archaeological remain in the Malaysian context.","author":[{"dropping-particle":"","family":"Roslan","given":"Shairatul Akma","non-dropping-particle":"","parse-names":false,"suffix":""},{"dropping-particle":"","family":"Yakub","given":"Fitri","non-dropping-particle":"","parse-names":false,"suffix":""},{"dropping-particle":"","family":"Rambat","given":"Shuib","non-dropping-particle":"","parse-names":false,"suffix":""},{"dropping-particle":"","family":"Noor","given":"Norzailawati Mohd","non-dropping-particle":"","parse-names":false,"suffix":""},{"dropping-particle":"","family":"Saidin","given":"Mokhtar","non-dropping-particle":"","parse-names":false,"suffix":""}],"container-title":"IOP Conference Series: Earth and Environmental Science","id":"ITEM-3","issue":"1","issued":{"date-parts":[["2020"]]},"title":"The Integration of Aerial Sensing and Geophysical Techniques to Identify Buried Archaeological Properties in Sungai Batu, Bujang Valley","type":"article-journal","volume":"540"},"uris":["http://www.mendeley.com/documents/?uuid=2084e02e-2847-40c8-981d-dc3aef58a8d0"]},{"id":"ITEM-4","itemData":{"DOI":"10.1007/s12524-021-01431-5","ISBN":"0123456789","ISSN":"09743006","abstract":"The identification of archaeological features via geophysical techniques is widely used for the prospection of new archaeological proxies. However, there are very few integration studies with remote sensing techniques have been reported, especially in the Malaysian context. This study aims to integrate remote sensing analysis throughout surface features through the expediency of Vegetation Indices (VIs) with the ground investigation technique of Electrical Resistivity Tomography (ERT) data to identify archaeological traces in Sungai Batu, Bujang Valley, Kedah. Normalized Difference Vegetation Index (NDVI) and Digital Elevation Model (DEM) were generated to provide visual interpretation and elevation profile to extract the archaeological features. Farther, statistical analyses were conducted to show a strong correlation between two variables data: eight VIs with Resistivity of Buried Properties (RBP) and Resistivity of Ancient River (RAR). The results obtained show that almost all indices attained a high correlation, especially DVI and RDVI which RAR (r = 0.94) and RBP (r = 0.95). In contrast, MSAVI shows a high negative correlation with RAR (r = −0.93) and RBP (r = −0.95). However, NDVI indicates the low correlation in RAR (r = 0.66) compared to RBP (r = 0.95) because we assume this algorithm is less appropriate in detecting underground water rather than extracting the vegetation spectral characteristics. It is therefore recommended that the application of the appropriate algorithm is a Normalized Difference Water Index (NDWI) compared to NDVI. Finally, it is anticipated that the outcome of this study could be used to map the potential area of archaeological interest and in the planning for further fieldwork investigation.","author":[{"dropping-particle":"","family":"Roslan","given":"Shairatul Akma","non-dropping-particle":"","parse-names":false,"suffix":""},{"dropping-particle":"","family":"Yakub","given":"Fitri","non-dropping-particle":"","parse-names":false,"suffix":""},{"dropping-particle":"","family":"Saidin","given":"Mokhtar","non-dropping-particle":"","parse-names":false,"suffix":""},{"dropping-particle":"","family":"Rambat","given":"Shuib","non-dropping-particle":"","parse-names":false,"suffix":""},{"dropping-particle":"","family":"Attwa","given":"Mohamed","non-dropping-particle":"","parse-names":false,"suffix":""},{"dropping-particle":"","family":"Rashid","given":"Mohd Zamzuri Ab","non-dropping-particle":"","parse-names":false,"suffix":""}],"container-title":"Journal of the Indian Society of Remote Sensing","id":"ITEM-4","issue":"12","issued":{"date-parts":[["2021"]]},"page":"2959-2975","publisher":"Springer India","title":"A Comparative Assessment for the Archaeological Features Detection Using an Integration of Aerial Remote Sensing and Electrical Resistivity in Sungai Batu, Bujang Valley","type":"article-journal","volume":"49"},"uris":["http://www.mendeley.com/documents/?uuid=e819a778-250e-45c9-8128-c115e2a2a7a1"]},{"id":"ITEM-5","itemData":{"DOI":"10.1080/15564894.2020.1803457","ISSN":"15561828","abstract":"Climate change and anthropogenic activities are actively destroying the archaeological record. The dramatic disappearance of archaeological landscapes becomes particularly problematic when they are also unrecorded. Hidden from view and eroding, these disappearing landscapes likely hold answers to important anthropological questions. As such, disappearing landscapes present a major challenge for twenty-first century archaeology. Left unchecked, this phenomenon will increase the severity of bias in our knowledge of the past. In this paper we use a case study from Pinckney Island in the American Southeast to illustrate how the problem of hidden and disappearing landscapes can be addressed through multi-scalar surveys. Specifically, by combining aerial LiDAR, pedestrian survey, and micro-artifact approaches, the identification of hidden and disappearing cultural materials (including permanent settlements and ephemeral artifact scatters) can be alleviated.","author":[{"dropping-particle":"","family":"Davis","given":"Dylan S.","non-dropping-particle":"","parse-names":false,"suffix":""},{"dropping-particle":"","family":"Seeber","given":"Katherine E.","non-dropping-particle":"","parse-names":false,"suffix":""},{"dropping-particle":"","family":"Sanger","given":"Matthew C.","non-dropping-particle":"","parse-names":false,"suffix":""}],"container-title":"Journal of Island and Coastal Archaeology","id":"ITEM-5","issue":"2-4","issued":{"date-parts":[["2021"]]},"page":"524-540","publisher":"Routledge","title":"Addressing the problem of disappearing cultural landscapes in archaeological research using multi-scalar survey","type":"article-journal","volume":"16"},"uris":["http://www.mendeley.com/documents/?uuid=5136ce42-25d5-4e4b-bed9-0075ba45a0c1"]}],"mendeley":{"formattedCitation":"[1–5]","manualFormatting":"[1]–[5]","plainTextFormattedCitation":"[1–5]","previouslyFormattedCitation":"[1–5]"},"properties":{"noteIndex":0},"schema":"https://github.com/citation-style-language/schema/raw/master/csl-citation.json"}</w:instrText>
      </w:r>
      <w:r w:rsidRPr="0024372F">
        <w:fldChar w:fldCharType="separate"/>
      </w:r>
      <w:r w:rsidRPr="0024372F">
        <w:t>[1</w:t>
      </w:r>
      <w:r w:rsidR="002027A9">
        <w:t>-</w:t>
      </w:r>
      <w:r w:rsidRPr="0024372F">
        <w:t>5]</w:t>
      </w:r>
      <w:r w:rsidRPr="0024372F">
        <w:rPr>
          <w:lang w:val="en-US"/>
        </w:rPr>
        <w:fldChar w:fldCharType="end"/>
      </w:r>
      <w:r w:rsidRPr="0024372F">
        <w:t xml:space="preserve">. Optical imaging, thermal, and radar remote sensing instruments have all been used extensively to map and monitor archaeological sites </w:t>
      </w:r>
      <w:r w:rsidRPr="0024372F">
        <w:fldChar w:fldCharType="begin" w:fldLock="1"/>
      </w:r>
      <w:r w:rsidRPr="0024372F">
        <w:instrText>ADDIN CSL_CITATION {"citationItems":[{"id":"ITEM-1","itemData":{"DOI":"10.1371/journal.pone.0218132","ISBN":"1111111111","ISSN":"19326203","PMID":"31185068","abstract":"The perennial and stoloniferous weed, Cynodon dactylon (L.) Pers. (bermudagrass), is a serious problem in vineyards. The spectral similarity between bermudagrass and grapevines makes discrimination of the two species, based solely on spectral information from multi-band imaging sensor, unfeasible. However, that challenge can be overcome by use of object-based image analysis (OBIA) and ultra-high spatial resolution Unmanned Aerial Vehicle (UAV) images. This research aimed to automatically, accurately, and rapidly map bermudagrass and design maps for its management. Aerial images of two vineyards were captured using two multispectral cameras (RGB and RGNIR) attached to a UAV. First, spectral analysis was performed to select the optimum vegetation index (VI) for bermudagrass discrimination from bare soil. Then, the VI-based OBIA algorithm developed for each camera automatically mapped the grapevines, bermudagrass, and bare soil (accuracies greater than 97.7%). Finally, site-specific management maps were generated. Combining UAV imagery and a robust OBIA algorithm allowed the automatic mapping of bermudagrass. Analysis of the classified area made it possible to quantify grapevine growth and revealed expansion of bermudagrass infested areas. The generated bermudagrass maps could help farmers improve weed control through a well-programmed strategy. Therefore, the developed OBIA algorithm offers valuable geo-spatial information for designing site-specific bermudagrass management strategies leading farmers to potentially reduce herbicide use as well as optimize fuel, field operating time, and costs.","author":[{"dropping-particle":"","family":"Jiménez-Brenes","given":"Francisco Manuel","non-dropping-particle":"","parse-names":false,"suffix":""},{"dropping-particle":"","family":"López-Granados","given":"Francisca","non-dropping-particle":"","parse-names":false,"suffix":""},{"dropping-particle":"","family":"Torres-Sánchez","given":"Jorge","non-dropping-particle":"","parse-names":false,"suffix":""},{"dropping-particle":"","family":"Peña","given":"José Manuel","non-dropping-particle":"","parse-names":false,"suffix":""},{"dropping-particle":"","family":"Ramírez","given":"Pilar","non-dropping-particle":"","parse-names":false,"suffix":""},{"dropping-particle":"","family":"Castillejo-González","given":"Isabel Luisa","non-dropping-particle":"","parse-names":false,"suffix":""},{"dropping-particle":"","family":"Castro","given":"Ana Isabel","non-dropping-particle":"de","parse-names":false,"suffix":""}],"container-title":"PLoS ONE","id":"ITEM-1","issue":"6","issued":{"date-parts":[["2019"]]},"title":"Automatic UAV-based detection of Cynodon dactylon for site-specific vineyard management","type":"article-journal","volume":"14"},"uris":["http://www.mendeley.com/documents/?uuid=ae226965-817a-41a5-bdc1-ca06e3a8d9d3"]},{"id":"ITEM-2","itemData":{"DOI":"10.1016/j.isprsjprs.2018.11.020","ISSN":"09242716","abstract":"Unmanned aerial vehicle Laser Scanning (ULS) and Backpack Laser Scanning (BLS) are two emerging mobile mapping technologies applicable for monitoring forested environments in unprecedented detail from complementary perspectives. Although ground-based backpack techniques provide detailed information about the forest understory and terrain, the measured point clouds based on SLAM techniques are stitched together gradually and normally expressed in a less-accurate arbitrary coordinate system. Conversely, ULS point clouds are acquired from above and usually georeferenced, yet the point density and penetrability near the ground may still suffer from dense overstory despite the low attitude operation. Coregistering the ground and aerial point clouds in the ULS coordinate system therefore provides a method for fusing understory and overstory information at single tree level without the time consuming procedure of applying ground control points. Since the ULS and BLS acquisition viewpoints differ greatly, standard coregistration methods requiring 3D point-level correspondences are likely to fail. This paper presents an object-level coregistration approach which instead operates on two sets of tree positions, with the goal of finding the optimal 3D transformation (consisting of rotation, translation and scaling) between the respective coordinate systems. The entire task is decomposed into separate problems of computing the common Z axis, estimating the scale, and 2D coregistration. In contrast to existing methods, our approach does not require additional information such as tree diameters or heights. We evaluated our method on real test plots involving diverse stem densities and tree species situated in forest farm of the eastern coastal region of Jiangsu, China. The tree positions for ground and aerial data were obtained respectively by cylinder fitting and tree segmentation. On 3 coniferous (dawn redwood) plots, 46–81% trees were matched with a distance below 50 cm, and mean position deviation of 27–36 cm. For 4 broadleaf (poplar) plots, no more than 50% trees were matched below a 1 m threshold and mean error of 54–67 cm, which can be attributed to the broadleaf trees’ more irregular shape and lack of a well defined tree top. Moreover, we show that the introduction of scaling into the transform can increase the matched tree count by up to 20 percentage points and decrease the mean matched distance by up to 13% compared to a strictly rigid transform.","author":[{"dropping-particle":"","family":"Polewski","given":"Przemyslaw","non-dropping-particle":"","parse-names":false,"suffix":""},{"dropping-particle":"","family":"Yao","given":"Wei","non-dropping-particle":"","parse-names":false,"suffix":""},{"dropping-particle":"","family":"Cao","given":"Lin","non-dropping-particle":"","parse-names":false,"suffix":""},{"dropping-particle":"","family":"Gao","given":"Sha","non-dropping-particle":"","parse-names":false,"suffix":""}],"container-title":"ISPRS Journal of Photogrammetry and Remote Sensing","id":"ITEM-2","issue":"November 2018","issued":{"date-parts":[["2019"]]},"page":"307-318","publisher":"Elsevier","title":"Marker-free coregistration of UAV and backpack LiDAR point clouds in forested areas","type":"article-journal","volume":"147"},"uris":["http://www.mendeley.com/documents/?uuid=d72e9b42-fa2b-4596-b752-1f6e934a2ecc"]}],"mendeley":{"formattedCitation":"[6, 7]","manualFormatting":"[6]-[7]","plainTextFormattedCitation":"[6, 7]","previouslyFormattedCitation":"[6, 7]"},"properties":{"noteIndex":0},"schema":"https://github.com/citation-style-language/schema/raw/master/csl-citation.json"}</w:instrText>
      </w:r>
      <w:r w:rsidRPr="0024372F">
        <w:fldChar w:fldCharType="separate"/>
      </w:r>
      <w:r w:rsidRPr="0024372F">
        <w:t>[6</w:t>
      </w:r>
      <w:r w:rsidR="002027A9">
        <w:t>,</w:t>
      </w:r>
      <w:r w:rsidRPr="0024372F">
        <w:t>7]</w:t>
      </w:r>
      <w:r w:rsidRPr="0024372F">
        <w:rPr>
          <w:lang w:val="en-US"/>
        </w:rPr>
        <w:fldChar w:fldCharType="end"/>
      </w:r>
      <w:r w:rsidRPr="0024372F">
        <w:t xml:space="preserve">. Notably, images obtained by remote sensing are also constructed by using spatial, spectral, radiometric, and temporal resolutions </w:t>
      </w:r>
      <w:r w:rsidRPr="0024372F">
        <w:fldChar w:fldCharType="begin" w:fldLock="1"/>
      </w:r>
      <w:r w:rsidRPr="0024372F">
        <w:instrText>ADDIN CSL_CITATION {"citationItems":[{"id":"ITEM-1","itemData":{"author":[{"dropping-particle":"","family":"Lasaponara","given":"Rosa","non-dropping-particle":"","parse-names":false,"suffix":""},{"dropping-particle":"","family":"National","given":"Italian","non-dropping-particle":"","parse-names":false,"suffix":""},{"dropping-particle":"","family":"Masini","given":"Nicola","non-dropping-particle":"","parse-names":false,"suffix":""},{"dropping-particle":"","family":"National","given":"Italian","non-dropping-particle":"","parse-names":false,"suffix":""}],"id":"ITEM-1","issue":"September","issued":{"date-parts":[["2008"]]},"title":"Advances on Remote Sensing for and Rosa Lasaponara","type":"article-journal"},"uris":["http://www.mendeley.com/documents/?uuid=6497ee45-a2b8-4629-adb3-bcdfaa0045bb"]},{"id":"ITEM-2","itemData":{"DOI":"10.1016/j.compag.2005.03.003","author":[{"dropping-particle":"","family":"Zhao","given":"D H","non-dropping-particle":"","parse-names":false,"suffix":""},{"dropping-particle":"","family":"Li","given":"J L","non-dropping-particle":"","parse-names":false,"suffix":""},{"dropping-particle":"","family":"Qi","given":"J G","non-dropping-particle":"","parse-names":false,"suffix":""}],"id":"ITEM-2","issued":{"date-parts":[["2005"]]},"page":"155-169","title":"Identification of red and NIR spectral regions and vegetative indices for discrimination of cotton nitrogen stress and growth stage","type":"article-journal","volume":"48"},"uris":["http://www.mendeley.com/documents/?uuid=1077adb0-c511-42e7-9f15-e1fdb4cd6ec2"]},{"id":"ITEM-3","itemData":{"DOI":"10.1016/j.jas.2011.02.002","ISSN":"03054403","abstract":"910 / 920","author":[{"dropping-particle":"","family":"Lasaponara","given":"Rosa","non-dropping-particle":"","parse-names":false,"suffix":""},{"dropping-particle":"","family":"Masini","given":"Nicola","non-dropping-particle":"","parse-names":false,"suffix":""}],"container-title":"Journal of Archaeological Science","id":"ITEM-3","issue":"9","issued":{"date-parts":[["2011"]]},"page":"1995-2002","title":"Satellite remote sensing in archaeology: past, present and future perspectives","type":"article-journal","volume":"38"},"uris":["http://www.mendeley.com/documents/?uuid=cc69c2ed-3463-4188-a95c-1cb9927f8d73"]},{"id":"ITEM-4","itemData":{"author":[{"dropping-particle":"","family":"Aggarwal","given":"Shefali","non-dropping-particle":"","parse-names":false,"suffix":""}],"id":"ITEM-4","issued":{"date-parts":[["0"]]},"page":"23-38","title":"Principles of remote sensing","type":"article-journal"},"uris":["http://www.mendeley.com/documents/?uuid=e6f7b810-393f-4566-93c8-1f98233229b7"]}],"mendeley":{"formattedCitation":"[8–11]","manualFormatting":"[8]–[11]","plainTextFormattedCitation":"[8–11]","previouslyFormattedCitation":"[8–11]"},"properties":{"noteIndex":0},"schema":"https://github.com/citation-style-language/schema/raw/master/csl-citation.json"}</w:instrText>
      </w:r>
      <w:r w:rsidRPr="0024372F">
        <w:fldChar w:fldCharType="separate"/>
      </w:r>
      <w:r w:rsidRPr="0024372F">
        <w:t>[8</w:t>
      </w:r>
      <w:r w:rsidR="002027A9">
        <w:t>-</w:t>
      </w:r>
      <w:r w:rsidRPr="0024372F">
        <w:t>11]</w:t>
      </w:r>
      <w:r w:rsidRPr="0024372F">
        <w:rPr>
          <w:lang w:val="en-US"/>
        </w:rPr>
        <w:fldChar w:fldCharType="end"/>
      </w:r>
      <w:r w:rsidRPr="0024372F">
        <w:t xml:space="preserve">. Meanwhile, ground geophysical prospection has aided in cutting-edge surveys and studies that have expanded beyond geophysics and geology to incorporate the archaeological </w:t>
      </w:r>
      <w:r w:rsidRPr="0024372F">
        <w:lastRenderedPageBreak/>
        <w:t xml:space="preserve">context at a new scale. Studies </w:t>
      </w:r>
      <w:r w:rsidRPr="0024372F">
        <w:fldChar w:fldCharType="begin" w:fldLock="1"/>
      </w:r>
      <w:r w:rsidRPr="0024372F">
        <w:instrText>ADDIN CSL_CITATION {"citationItems":[{"id":"ITEM-1","itemData":{"DOI":"10.3390/geosciences7020040","ISSN":"20763263","abstract":"The paper investigates the superficial layers of an archaeological landscape based on the integration of various remote sensing techniques. It is well known in the literature that shallow depths may be rich in archeological remains, which generate different signal responses depending on the applied technique. In this study three main technologies are examined, namely ground-penetrating radar (GPR), ground spectroscopy, and multispectral satellite imagery. The study aims to propose a methodology to enhance optical remote sensing satellite images, intended for archaeological research, based on the integration of ground based and satellite datasets. For this task, a regression model between the ground spectroradiometer and GPR is established which is then projected to a high resolution sub-meter optical image. The overall methodology consists of nine steps. Beyond the acquirement of the in-situ measurements and their calibration (Steps 1-3), various regression models are examined for more than 70 different vegetation indices (Steps 4-5). The specific data analysis indicated that the red-edge position (REP) hyperspectral index was the most appropriate for developing a local fusion model between ground spectroscopy data and GPR datasets (Step 6), providing comparable results with the in situ GPR measurements (Step 7). Other vegetation indices, such as the normalized difference vegetation index (NDVI), have also been examined, providing significant correlation between the two datasets (R = 0.50). The model is then projected to a high-resolution image over the area of interest (Step 8). The proposed methodology was evaluated with a series of field data collected from the Vészto-Mágor Tell in the eastern part of Hungary. The results were compared with in situ magnetic gradiometry measurements, indicating common interpretation results. The results were also compatible with the preliminary archaeological investigations of the area (Step 9). The overall outcomes document that fusion models between various types of remote sensing datasets frequently used to support archaeological research can further expand the current capabilities and applications for the detection of buried archaeological remains.","author":[{"dropping-particle":"","family":"Agapiou","given":"Athos","non-dropping-particle":"","parse-names":false,"suffix":""},{"dropping-particle":"","family":"Lysandrou","given":"Vasiliki","non-dropping-particle":"","parse-names":false,"suffix":""},{"dropping-particle":"","family":"Sarris","given":"Apostolos","non-dropping-particle":"","parse-names":false,"suffix":""},{"dropping-particle":"","family":"Papadopoulos","given":"Nikos","non-dropping-particle":"","parse-names":false,"suffix":""},{"dropping-particle":"","family":"Hadjimitsis","given":"Diofantos G.","non-dropping-particle":"","parse-names":false,"suffix":""}],"container-title":"Geosciences (Switzerland)","id":"ITEM-1","issue":"2","issued":{"date-parts":[["2017"]]},"title":"Fusion of satellite multispectral images based on ground-penetrating radar (GPR) data for the investigation of buried concealed archaeological remains","type":"article-journal","volume":"7"},"uris":["http://www.mendeley.com/documents/?uuid=b9ca11bd-6e0c-4a51-9d1a-7a72b3226c86"]}],"mendeley":{"formattedCitation":"[12]","plainTextFormattedCitation":"[12]","previouslyFormattedCitation":"[12]"},"properties":{"noteIndex":0},"schema":"https://github.com/citation-style-language/schema/raw/master/csl-citation.json"}</w:instrText>
      </w:r>
      <w:r w:rsidRPr="0024372F">
        <w:fldChar w:fldCharType="separate"/>
      </w:r>
      <w:r w:rsidRPr="0024372F">
        <w:t>[12]</w:t>
      </w:r>
      <w:r w:rsidRPr="0024372F">
        <w:rPr>
          <w:lang w:val="en-US"/>
        </w:rPr>
        <w:fldChar w:fldCharType="end"/>
      </w:r>
      <w:r w:rsidRPr="0024372F">
        <w:t xml:space="preserve"> have claimed that geophysical and remote sensing technologies are non-invasive, cost-effective, and offer a flexible and alternative means of exploring and defining underlying structures. For instance, combining multiple remote sensing datasets with the ground geophysical investigation has proven to be an efficient method for collecting and retrieving archaeological data. With the help of geophysical surveys, hyperspectral data, aerial photographs, and high-resolution satellite imaging have successfully explored subsurface archaeological features over the Ve'szto-Ma'gor, Tell site in Hungary </w:t>
      </w:r>
      <w:r w:rsidRPr="0024372F">
        <w:fldChar w:fldCharType="begin" w:fldLock="1"/>
      </w:r>
      <w:r w:rsidRPr="0024372F">
        <w:instrText>ADDIN CSL_CITATION {"citationItems":[{"id":"ITEM-1","itemData":{"DOI":"10.1016/j.jas.2012.11.001","ISSN":"10959238","abstract":"An integration of geophysical surveys, ground hyperspectral data, aerial photographs and high resolution satellite imagery for supporting archaeological investigations at the multi-component Vészto{doubleacute}-Mágor Tell, located in the southeastern Great Hungarian Plain, is presented in this study. This is one of the first times that all these techniques have been combined and evaluated for retrieving archaeological information. Geophysical explorations, specifically magnetic gradiometry and ground penetrating radar methods, have revealed shallow linear anomalies and curvilinear rings at the Tell. The use of remote sensing images has confirmed the diverse anomalies with respect to geophysics through photointerpretation, radiometric and spatial enhancements. Moreover, several indices from ground hyperspectral data also have revealed stress vegetation anomalies. These integrated results were used to map the main areas of archaeological interest at the Vészto{doubleacute}-Mágor Tell and plan future excavations. It was found that these multiscalar data can be used efficiently for detecting buried archaeological features. © 2012 Elsevier Ltd.","author":[{"dropping-particle":"","family":"Sarris","given":"Apostolos","non-dropping-particle":"","parse-names":false,"suffix":""},{"dropping-particle":"","family":"Papadopoulos","given":"Nikos","non-dropping-particle":"","parse-names":false,"suffix":""},{"dropping-particle":"","family":"Agapiou","given":"Athos","non-dropping-particle":"","parse-names":false,"suffix":""},{"dropping-particle":"","family":"Salvi","given":"Maria Cristina","non-dropping-particle":"","parse-names":false,"suffix":""},{"dropping-particle":"","family":"Hadjimitsis","given":"Diofantos G.","non-dropping-particle":"","parse-names":false,"suffix":""},{"dropping-particle":"","family":"Parkinson","given":"William A.","non-dropping-particle":"","parse-names":false,"suffix":""},{"dropping-particle":"","family":"Yerkes","given":"Richard W.","non-dropping-particle":"","parse-names":false,"suffix":""},{"dropping-particle":"","family":"Gyucha","given":"Attila","non-dropping-particle":"","parse-names":false,"suffix":""},{"dropping-particle":"","family":"Duffy","given":"Paul R.","non-dropping-particle":"","parse-names":false,"suffix":""}],"container-title":"Journal of Archaeological Science","id":"ITEM-1","issue":"3","issued":{"date-parts":[["2013"]]},"page":"1454-1470","publisher":"Elsevier Ltd","title":"Integration of geophysical surveys, ground hyperspectral measurements, aerial and satellite imagery for archaeological prospection of prehistoric sites: The case study of Vészto{doubleacute}-Mágor Tell, Hungary","type":"article-journal","volume":"40"},"uris":["http://www.mendeley.com/documents/?uuid=8dbfb06d-d3ff-418b-8166-d940c3297202"]}],"mendeley":{"formattedCitation":"[13]","plainTextFormattedCitation":"[13]","previouslyFormattedCitation":"[13]"},"properties":{"noteIndex":0},"schema":"https://github.com/citation-style-language/schema/raw/master/csl-citation.json"}</w:instrText>
      </w:r>
      <w:r w:rsidRPr="0024372F">
        <w:fldChar w:fldCharType="separate"/>
      </w:r>
      <w:r w:rsidRPr="0024372F">
        <w:t>[13]</w:t>
      </w:r>
      <w:r w:rsidRPr="0024372F">
        <w:rPr>
          <w:lang w:val="en-US"/>
        </w:rPr>
        <w:fldChar w:fldCharType="end"/>
      </w:r>
      <w:r w:rsidRPr="0024372F">
        <w:t>.</w:t>
      </w:r>
    </w:p>
    <w:p w14:paraId="6D867C4E" w14:textId="3088B66C" w:rsidR="0024372F" w:rsidRPr="0024372F" w:rsidRDefault="0024372F" w:rsidP="002027A9">
      <w:pPr>
        <w:pStyle w:val="A"/>
      </w:pPr>
      <w:r w:rsidRPr="0024372F">
        <w:t xml:space="preserve">Similarly, archaeological sites in southeast Kansas were also studied using a geophysical approach </w:t>
      </w:r>
      <w:r w:rsidRPr="0024372F">
        <w:fldChar w:fldCharType="begin" w:fldLock="1"/>
      </w:r>
      <w:r w:rsidRPr="0024372F">
        <w:instrText>ADDIN CSL_CITATION {"citationItems":[{"id":"ITEM-1","itemData":{"DOI":"10.1007/s12665-015-5007-1","ISSN":"18666299","abstract":"The Ophiolitic complex of the study area oriented in N–S direction, having moderate to steep slopes of the topography and characterized by strong heterogeneity, repetitive deformations and multiple intrusions. Ophiolites of the study area encompass the major groundwater-bearing zones. Generally, these formations have shallower fractured aquifers of a thickness 30–45 m and sometimes due to deep tensile fractures the thickness of aquifer exceeds more than 60 m with a considerable groundwater yield. A joint venture of satellite remote sensing, geoelectrical resistivity and ground penetrating radar (GPR) techniques has been used to assess the groundwater potential of the fractured Ophiolites. The interpreted resistivity inversion model and GPR results were incorporated with borehole lithologs for their subsurface properties and structural variations. The integration of using multiple techniques has increased the accuracy of interpretation, and thus conflated results significantly rendered the existence of weathered and fractured zone having hydrogeological importance. Based on the parameters, viz., geoelectrical properties of layers, reflection configuration, thickness of weathered and fractured aquifer zone, a typical aquifer model for the study area that contains various layers and subtle structural variation has been developed. Further, the derived integrated geophysical data also detail on various lithological characteristics and advances the understanding about aquifer systems of fractured Ophiolites and the distribution of groundwater in fractures.","author":[{"dropping-particle":"","family":"Maury","given":"Shrikant","non-dropping-particle":"","parse-names":false,"suffix":""},{"dropping-particle":"","family":"Tiwari","given":"R. K.","non-dropping-particle":"","parse-names":false,"suffix":""},{"dropping-particle":"","family":"Balaji","given":"S.","non-dropping-particle":"","parse-names":false,"suffix":""}],"container-title":"Environmental Earth Sciences","id":"ITEM-1","issue":"3","issued":{"date-parts":[["2016"]]},"page":"1-21","publisher":"Springer Berlin Heidelberg","title":"Joint application of satellite remote sensing, ground penetrating radar (GPR) and resistivity techniques for targeting ground water in fractured Ophiolites of South Andaman Island, India","type":"article-journal","volume":"75"},"uris":["http://www.mendeley.com/documents/?uuid=371b0dfe-9dff-4c73-bb59-0832107cb361"]}],"mendeley":{"formattedCitation":"[14]","plainTextFormattedCitation":"[14]","previouslyFormattedCitation":"[14]"},"properties":{"noteIndex":0},"schema":"https://github.com/citation-style-language/schema/raw/master/csl-citation.json"}</w:instrText>
      </w:r>
      <w:r w:rsidRPr="0024372F">
        <w:fldChar w:fldCharType="separate"/>
      </w:r>
      <w:r w:rsidRPr="0024372F">
        <w:t>[14]</w:t>
      </w:r>
      <w:r w:rsidRPr="0024372F">
        <w:rPr>
          <w:lang w:val="en-US"/>
        </w:rPr>
        <w:fldChar w:fldCharType="end"/>
      </w:r>
      <w:r w:rsidRPr="0024372F">
        <w:t xml:space="preserve">. They analyzed Lidar data for subsurface characteristics and variables affecting soil erosion in the Middle Neosho Watershed using Electrical Resistivity Tomography (ERT) and Normalized Difference Vegetation Index (NDVI). The authors believe that the technique and analysis strategy can be implemented to detect ancient crop markings based on identifying and examining soil erosion. On the other hand, data fusion methods such as "archaeo-geophysics," which may rapidly and non-invasively detect the locations and identities of buried ancient structures, are becoming increasingly sophisticated </w:t>
      </w:r>
      <w:r w:rsidRPr="0024372F">
        <w:fldChar w:fldCharType="begin" w:fldLock="1"/>
      </w:r>
      <w:r w:rsidRPr="0024372F">
        <w:instrText>ADDIN CSL_CITATION {"citationItems":[{"id":"ITEM-1","itemData":{"DOI":"10.1007/s10712-018-9494-y","ISBN":"0123456789","ISSN":"15730956","abstract":"The use of geophysical methods in metrology is a significant tool within the wide research topic of landscape archaeology context. Since 2011, the Ancient Appia Landscapes Project aims to recognize dynamics, shapes and layout of the ancient settlement located along the Appia road east of Benevento, and cyclical elements and human activities that influenced the choice of landscapes. The integration of geophysical data with an archaeological infra-site analysis allowed us to investigate the area of Masseria Grasso, about 6 km from Benevento (Campania region, Italy). In this framework, an archaeogeophysical approach (Geomagnetic and Ground Penetrating Radar) was adopted for detecting anomalies potentially correlated with buried archaeological evidences. The geomagnetic results have given a wide knowledge of buried features in a large survey highlighting significant anomalies associated with the presence of buildings, roads and open spaces. These geophysical results permitted us to define the first archaeological excavations and, successively, a detailed Ground Penetrating Radar approach has been provided highlighting the rooms and paved spaces. The overlap between archaeological dataset and geophysical surveys has also allowed recognizing the path of the ancient Appia road near the city of Benevento and hypothesize the settlement organization of the investigated area, which has been identified with the ancient Nuceriola.","author":[{"dropping-particle":"","family":"Rizzo","given":"Enzo","non-dropping-particle":"","parse-names":false,"suffix":""},{"dropping-particle":"","family":"Santoriello","given":"Alfonso","non-dropping-particle":"","parse-names":false,"suffix":""},{"dropping-particle":"","family":"Capozzoli","given":"Luigi","non-dropping-particle":"","parse-names":false,"suffix":""},{"dropping-particle":"","family":"Martino","given":"Gregory","non-dropping-particle":"De","parse-names":false,"suffix":""},{"dropping-particle":"","family":"Vita","given":"Cristiano Benedetto","non-dropping-particle":"De","parse-names":false,"suffix":""},{"dropping-particle":"","family":"Musmeci","given":"Daniela","non-dropping-particle":"","parse-names":false,"suffix":""},{"dropping-particle":"","family":"Perciante","given":"Felice","non-dropping-particle":"","parse-names":false,"suffix":""}],"container-title":"Surveys in Geophysics","id":"ITEM-1","issue":"6","issued":{"date-parts":[["2018"]]},"page":"1201-1217","publisher":"Springer Netherlands","title":"Geophysical Survey and Archaeological Data at Masseria Grasso (Benevento, Italy)","type":"article-journal","volume":"39"},"uris":["http://www.mendeley.com/documents/?uuid=54fa7cfd-f4e2-45cf-ae88-12d4627902aa"]}],"mendeley":{"formattedCitation":"[15]","plainTextFormattedCitation":"[15]","previouslyFormattedCitation":"[15]"},"properties":{"noteIndex":0},"schema":"https://github.com/citation-style-language/schema/raw/master/csl-citation.json"}</w:instrText>
      </w:r>
      <w:r w:rsidRPr="0024372F">
        <w:fldChar w:fldCharType="separate"/>
      </w:r>
      <w:r w:rsidRPr="0024372F">
        <w:t>[15]</w:t>
      </w:r>
      <w:r w:rsidRPr="0024372F">
        <w:rPr>
          <w:lang w:val="en-US"/>
        </w:rPr>
        <w:fldChar w:fldCharType="end"/>
      </w:r>
      <w:r w:rsidRPr="0024372F">
        <w:t>.</w:t>
      </w:r>
    </w:p>
    <w:p w14:paraId="6862B70E" w14:textId="1BE982C1" w:rsidR="0024372F" w:rsidRPr="0024372F" w:rsidRDefault="0024372F" w:rsidP="002027A9">
      <w:pPr>
        <w:pStyle w:val="A"/>
      </w:pPr>
      <w:r w:rsidRPr="0024372F">
        <w:t xml:space="preserve">Supplementarily, Vegetation Indices derived from multispectral remote sensing data have been studied for their potential to be used in the detection of archaeological anomalies in ancient sites </w:t>
      </w:r>
      <w:r w:rsidRPr="0024372F">
        <w:fldChar w:fldCharType="begin" w:fldLock="1"/>
      </w:r>
      <w:r w:rsidRPr="0024372F">
        <w:instrText>ADDIN CSL_CITATION {"citationItems":[{"id":"ITEM-1","itemData":{"DOI":"10.1016/j.jas.2012.10.036","ISSN":"0305-4403","author":[{"dropping-particle":"","family":"Agapiou","given":"Athos","non-dropping-particle":"","parse-names":false,"suffix":""},{"dropping-particle":"","family":"Hadjimitsis","given":"Diofantos G","non-dropping-particle":"","parse-names":false,"suffix":""},{"dropping-particle":"","family":"Sarris","given":"Apostolos","non-dropping-particle":"","parse-names":false,"suffix":""},{"dropping-particle":"","family":"Georgopoulos","given":"Andreas","non-dropping-particle":"","parse-names":false,"suffix":""},{"dropping-particle":"","family":"Alexakis","given":"Dimitrios D","non-dropping-particle":"","parse-names":false,"suffix":""}],"container-title":"Journal of Archaeological Science","id":"ITEM-1","issue":"3","issued":{"date-parts":[["2013"]]},"page":"1479-1492","publisher":"Elsevier Ltd","title":"Optimum temporal and spectral window for monitoring crop marks over archaeological remains in the Mediterranean region","type":"article-journal","volume":"40"},"uris":["http://www.mendeley.com/documents/?uuid=0e9dcc62-35ac-4093-a6b5-3620be5b405a"]},{"id":"ITEM-2","itemData":{"DOI":"10.1002/arp","author":[{"dropping-particle":"","family":"Bennett","given":"Rebecca","non-dropping-particle":"","parse-names":false,"suffix":""},{"dropping-particle":"","family":"Welham","given":"Kate","non-dropping-particle":"","parse-names":false,"suffix":""},{"dropping-particle":"","family":"Hill","given":"Ross A","non-dropping-particle":"","parse-names":false,"suffix":""},{"dropping-particle":"","family":"Ford","given":"Andrew L J","non-dropping-particle":"","parse-names":false,"suffix":""}],"id":"ITEM-2","issue":"June","issued":{"date-parts":[["2012"]]},"title":"Short Report The Application of Vegetation Indices for the Prospection of Archaeological Features in Grass-dominated Environments","type":"article-journal"},"uris":["http://www.mendeley.com/documents/?uuid=9f7cebbd-207a-411a-bcd6-8dbe27be1d18"]},{"id":"ITEM-3","itemData":{"DOI":"10.3390/app9235234","ISSN":"20763417","abstract":"Recent very high spatial resolution (VHR) remote sensing satellites provide high spatial resolution panchromatic (Pan) images in addition to multispectral (MS) images. The pan sharpening process has a critical role in image processing tasks and geospatial information extraction from satellite images. In this research, CIELab color based component substitution Pan sharpening algorithm was proposed for Pan sharpening of the Pleiades VHR images. The proposed method was compared with the state-of-the-art Pan sharpening methods, such as IHS, EHLERS, NNDiffuse and GIHS. The selected study region included ten test sites, each of them representing complex landscapes with various land categories, to evaluate the performance of Pan sharpening methods in varying land surface characteristics. The spatial and spectral performance of the Pan sharpening methods were evaluated by eleven accuracy metrics and visual interpretation. The results of the evaluation indicated that proposed CIELab color-based method reached promising results and improved the spectral and spatial information preservation.","author":[{"dropping-particle":"","family":"Rahimzadeganasl","given":"Alireza","non-dropping-particle":"","parse-names":false,"suffix":""},{"dropping-particle":"","family":"Alganci","given":"Ugur","non-dropping-particle":"","parse-names":false,"suffix":""},{"dropping-particle":"","family":"Goksel","given":"Cigdem","non-dropping-particle":"","parse-names":false,"suffix":""}],"container-title":"Applied Sciences (Switzerland)","id":"ITEM-3","issue":"23","issued":{"date-parts":[["2019"]]},"title":"An approach for the pan sharpening of very high resolution satellite images using a CIELab color based component substitution algorithm","type":"article-journal","volume":"9"},"uris":["http://www.mendeley.com/documents/?uuid=1429bae9-33c3-4578-b7cb-c7d09a2dd5fb"]},{"id":"ITEM-4","itemData":{"DOI":"10.3390/geosciences7020040","ISSN":"20763263","abstract":"The paper investigates the superficial layers of an archaeological landscape based on the integration of various remote sensing techniques. It is well known in the literature that shallow depths may be rich in archeological remains, which generate different signal responses depending on the applied technique. In this study three main technologies are examined, namely ground-penetrating radar (GPR), ground spectroscopy, and multispectral satellite imagery. The study aims to propose a methodology to enhance optical remote sensing satellite images, intended for archaeological research, based on the integration of ground based and satellite datasets. For this task, a regression model between the ground spectroradiometer and GPR is established which is then projected to a high resolution sub-meter optical image. The overall methodology consists of nine steps. Beyond the acquirement of the in-situ measurements and their calibration (Steps 1-3), various regression models are examined for more than 70 different vegetation indices (Steps 4-5). The specific data analysis indicated that the red-edge position (REP) hyperspectral index was the most appropriate for developing a local fusion model between ground spectroscopy data and GPR datasets (Step 6), providing comparable results with the in situ GPR measurements (Step 7). Other vegetation indices, such as the normalized difference vegetation index (NDVI), have also been examined, providing significant correlation between the two datasets (R = 0.50). The model is then projected to a high-resolution image over the area of interest (Step 8). The proposed methodology was evaluated with a series of field data collected from the Vészto-Mágor Tell in the eastern part of Hungary. The results were compared with in situ magnetic gradiometry measurements, indicating common interpretation results. The results were also compatible with the preliminary archaeological investigations of the area (Step 9). The overall outcomes document that fusion models between various types of remote sensing datasets frequently used to support archaeological research can further expand the current capabilities and applications for the detection of buried archaeological remains.","author":[{"dropping-particle":"","family":"Agapiou","given":"Athos","non-dropping-particle":"","parse-names":false,"suffix":""},{"dropping-particle":"","family":"Lysandrou","given":"Vasiliki","non-dropping-particle":"","parse-names":false,"suffix":""},{"dropping-particle":"","family":"Sarris","given":"Apostolos","non-dropping-particle":"","parse-names":false,"suffix":""},{"dropping-particle":"","family":"Papadopoulos","given":"Nikos","non-dropping-particle":"","parse-names":false,"suffix":""},{"dropping-particle":"","family":"Hadjimitsis","given":"Diofantos G.","non-dropping-particle":"","parse-names":false,"suffix":""}],"container-title":"Geosciences (Switzerland)","id":"ITEM-4","issue":"2","issued":{"date-parts":[["2017"]]},"title":"Fusion of satellite multispectral images based on ground-penetrating radar (GPR) data for the investigation of buried concealed archaeological remains","type":"article-journal","volume":"7"},"uris":["http://www.mendeley.com/documents/?uuid=b9ca11bd-6e0c-4a51-9d1a-7a72b3226c86"]}],"mendeley":{"formattedCitation":"[12, 16–18]","manualFormatting":"[12], [16]–[18]","plainTextFormattedCitation":"[12, 16–18]","previouslyFormattedCitation":"[12, 16–18]"},"properties":{"noteIndex":0},"schema":"https://github.com/citation-style-language/schema/raw/master/csl-citation.json"}</w:instrText>
      </w:r>
      <w:r w:rsidRPr="0024372F">
        <w:fldChar w:fldCharType="separate"/>
      </w:r>
      <w:r w:rsidRPr="0024372F">
        <w:t>[12</w:t>
      </w:r>
      <w:r w:rsidR="002027A9">
        <w:t>,</w:t>
      </w:r>
      <w:r w:rsidRPr="0024372F">
        <w:t>16</w:t>
      </w:r>
      <w:r w:rsidR="002027A9">
        <w:t>-</w:t>
      </w:r>
      <w:r w:rsidRPr="0024372F">
        <w:t>18]</w:t>
      </w:r>
      <w:r w:rsidRPr="0024372F">
        <w:rPr>
          <w:lang w:val="en-US"/>
        </w:rPr>
        <w:fldChar w:fldCharType="end"/>
      </w:r>
      <w:r w:rsidRPr="0024372F">
        <w:t xml:space="preserve">. Contrary to traditional remote sensing, which relies on several broadly defined spectral regions, multispectral remote sensing examines a number of precisely defined spectral channels. The use of multispectral sensors has been demonstrated for a variety of archaeological purposes, including the detection of crop stress </w:t>
      </w:r>
      <w:r w:rsidRPr="0024372F">
        <w:fldChar w:fldCharType="begin" w:fldLock="1"/>
      </w:r>
      <w:r w:rsidRPr="0024372F">
        <w:instrText>ADDIN CSL_CITATION {"citationItems":[{"id":"ITEM-1","itemData":{"DOI":"10.1007/s12524-017-0659-9","ISSN":"09743006","abstract":"This study involves exploration of archaeological structures in Srirangapatana and virtual reconstruction of Srirangapatana fort using geo-spatial techniques. Antiquity of this river island town goes back to ninth century AD which continued till British rule and hence has abundance of archaeological structures on it. Some of these structures are known and well-maintained while others are unprotected, unexcavated, hidden under thick vegetation or forgotten. To identify archaeological features such as buried/dilapidated/vegetation infested structures/features on ground, we used high resolution multispectral remote sensing data (0.5 and 5.6 m), Cartosat 1 stereo pairs (2.5 m), anaglyphs, historical documents, and analysed them on GIS platform. This study enabled us to: trace the concentric moats and fort-wall by using false colour composite image together with anaglyphs generated from Cartosat 1 stereo pair; explore hitherto unexplored and unexcavated archaeological features; identify unknown and abandoned temples/structures smothered with wild vegetation; locate exact location of currently non-existent site mentioned in historical records; identify the location of buried canal. This study also demonstrates how methodic use of various interpretation keys, image processing and analysis (such as NDVI, DEM, anaglyphs) can help in extracting archaeological features and direct archaeologists for further exploration.","author":[{"dropping-particle":"","family":"Gupta","given":"Ekta","non-dropping-particle":"","parse-names":false,"suffix":""},{"dropping-particle":"","family":"Das","given":"Sonia","non-dropping-particle":"","parse-names":false,"suffix":""},{"dropping-particle":"","family":"Rajani","given":"M. B.","non-dropping-particle":"","parse-names":false,"suffix":""}],"container-title":"Journal of the Indian Society of Remote Sensing","id":"ITEM-1","issue":"6","issued":{"date-parts":[["2017"]]},"page":"1057-1063","publisher":"Springer India","title":"Archaeological Exploration in Srirangapatna and Its Environ Through Remote Sensing Analysis","type":"article-journal","volume":"45"},"uris":["http://www.mendeley.com/documents/?uuid=155238c8-8f22-4ab6-a983-f8ee06d73b4f"]},{"id":"ITEM-2","itemData":{"DOI":"10.1515/ata-2016-0015","ISSN":"13385267","abstract":"&lt;p&gt;This paper presents a review on current and emerging application possibilities for unmanned aerial vehicles (UAVs). The introduction section of the paper briefly describes some of the application areas in which drones are currently being used. The next chapters of the paper describe more detailly the use of UAVs for aerial photography, filming, security and logistics, GIS, land and water surveys. The main focus of the last chapters is on the advantages and the disadvantages of the drones usage in precision agriculture, wildlife and nature observations and archaeology. The last chapters also provide information on how the advanced information technology solutions can be implemented in order to provide means for fighting invasive species, to increase the yield of certain crops, to monitor and predict flooding, wildfires and other disasters, etc. This paper provides only overview of the most interesting and widely available applications of the UAVs, but there are also many other more specific and dedicated solutions for implementation of the drones for different purposes.&lt;/p&gt;","author":[{"dropping-particle":"","family":"Beloev","given":"Ivan H.","non-dropping-particle":"","parse-names":false,"suffix":""}],"container-title":"Acta Technologica Agriculturae","id":"ITEM-2","issue":"3","issued":{"date-parts":[["2016"]]},"page":"70-76","title":"A review on current and emerging application possibilities for unmanned aerial vehicles","type":"article-journal","volume":"19"},"uris":["http://www.mendeley.com/documents/?uuid=22257a4e-1d39-488c-8702-c1fbcacc8723"]},{"id":"ITEM-3","itemData":{"DOI":"10.3390/rs6032176","ISSN":"20724292","abstract":"The potentials of the forthcoming new European Space Agency's (ESA) satellite sensor, Sentinel-2, for archaeological studies was examined in this paper. For this reason, an extensive spectral library of crop marks, acquired through numerous spectroradiometric campaigns, which are related with buried archaeological remains, has been resampled to the spectral characteristics of Sentinel-2. In addition, other existing satellite sensors have been also evaluated (Landsat 5 Thematic Mapper (TM); Advanced Spaceborne Thermal Emission and Reflection Radiometer (ASTER); IKONOS; Landsat 4 TM; Landsat 7 Enhance Thematic Mapper Plus (ETM+); QuickBird; Satellite Pour l'Observation de la Terre (SPOT); and WorldView-2). The simulated data have been compared with the optimum spectral regions for the detection of crop marks (700 nm and 800 nm). In addition, several existing vegetation indices have been also assessed for all sensors. As it was found, the spectral characteristics of Sentinel-2 are able to better distinguish crop marks compared to other existing satellite sensors. Indeed, as it was found, using a simulated Sentinel-2 image, not only known buried archaeological sites were able to be detected, but also other still unknown sites were able to be revealed. © 2014 by the authors; licensee MDPI, Basel, Switzerland.","author":[{"dropping-particle":"","family":"Agapiou","given":"Athos","non-dropping-particle":"","parse-names":false,"suffix":""},{"dropping-particle":"","family":"Alexakis","given":"Dimitrios D.","non-dropping-particle":"","parse-names":false,"suffix":""},{"dropping-particle":"","family":"Sarris","given":"Apostolos","non-dropping-particle":"","parse-names":false,"suffix":""},{"dropping-particle":"","family":"Hadjimitsis","given":"Diofantos G.","non-dropping-particle":"","parse-names":false,"suffix":""}],"container-title":"Remote Sensing","id":"ITEM-3","issue":"3","issued":{"date-parts":[["2014"]]},"page":"2176-2194","title":"Evaluating the potentials of sentinel-2 for archaeological perspective","type":"article-journal","volume":"6"},"uris":["http://www.mendeley.com/documents/?uuid=432b1300-cc1d-464e-b5c6-e22790017c07"]}],"mendeley":{"formattedCitation":"[19–21]","manualFormatting":"[19]–[21]","plainTextFormattedCitation":"[19–21]","previouslyFormattedCitation":"[19–21]"},"properties":{"noteIndex":0},"schema":"https://github.com/citation-style-language/schema/raw/master/csl-citation.json"}</w:instrText>
      </w:r>
      <w:r w:rsidRPr="0024372F">
        <w:fldChar w:fldCharType="separate"/>
      </w:r>
      <w:r w:rsidRPr="0024372F">
        <w:t>[19</w:t>
      </w:r>
      <w:r w:rsidR="002027A9">
        <w:t>-</w:t>
      </w:r>
      <w:r w:rsidRPr="0024372F">
        <w:t>21]</w:t>
      </w:r>
      <w:r w:rsidRPr="0024372F">
        <w:rPr>
          <w:lang w:val="en-US"/>
        </w:rPr>
        <w:fldChar w:fldCharType="end"/>
      </w:r>
      <w:r w:rsidRPr="0024372F">
        <w:t xml:space="preserve">, the differentiation of soil type and qualifying properties </w:t>
      </w:r>
      <w:r w:rsidRPr="0024372F">
        <w:fldChar w:fldCharType="begin" w:fldLock="1"/>
      </w:r>
      <w:r w:rsidRPr="0024372F">
        <w:instrText>ADDIN CSL_CITATION {"citationItems":[{"id":"ITEM-1","itemData":{"DOI":"10.1016/j.patcog.2012.03.003","ISBN":"1081601191","ISSN":"20724292","abstract":"This paper presents experimentation carried out at the Roman Republican city of La Caridad (Teruel, Spain), where different tools have been applied to obtain multispectral and thermal aerial images to enhance detection of archaeological cropmarks. Two different drone systems were used: a Mikrokopter designed by Tecnitop SA (Zaragoza, Spain) and an eBee produced by SenseFly Company (Cheseaux-sur-Lausanne, Switzerland). Thus, in this study, we have combined in-house manufacturing with commercial products. Six drone sensors were tested and compared in terms of their ability to identify buried remains in archaeological settlements by means of visual recognition. The sensors have different spectral ranges and spatial resolutions. This paper compares the images captured with different spectral range sensors to test the potential of this technology for archaeological benefits. The method used for the comparison of the tools has been based on direct visual inspection, as in traditional aerial archaeology. Through interpretation of the resulting data, our aim has been to determine which drones and sensors obtained the best results in the visualization of archaeological cropmarks. The experiment in La Caridad therefore demonstrates the benefit of using drones with different sensors to monitor archaeological cropmarks for a more cost-effective assessment, best spatial resolution and digital recording of buried archaeological remains.","author":[{"dropping-particle":"","family":"Wandsinder","given":"LuAnn","non-dropping-particle":"","parse-names":false,"suffix":""},{"dropping-particle":"","family":"Dorazio","given":"T.","non-dropping-particle":"","parse-names":false,"suffix":""},{"dropping-particle":"","family":"Palumbo","given":"F.","non-dropping-particle":"","parse-names":false,"suffix":""},{"dropping-particle":"","family":"Guaragnella","given":"Cataldo","non-dropping-particle":"","parse-names":false,"suffix":""},{"dropping-particle":"","family":"D'Orazio","given":"Tiziana","non-dropping-particle":"","parse-names":false,"suffix":""},{"dropping-particle":"","family":"Pelo","given":"Paolo","non-dropping-particle":"Da","parse-names":false,"suffix":""},{"dropping-particle":"","family":"Marani","given":"Roberto","non-dropping-particle":"","parse-names":false,"suffix":""},{"dropping-particle":"","family":"Guaragnella","given":"Cataldo","non-dropping-particle":"","parse-names":false,"suffix":""},{"dropping-particle":"","family":"Thonfeld","given":"Frank","non-dropping-particle":"","parse-names":false,"suffix":""},{"dropping-particle":"","family":"Amler","given":"Esther","non-dropping-particle":"","parse-names":false,"suffix":""},{"dropping-particle":"","family":"Misana","given":"Salome","non-dropping-particle":"","parse-names":false,"suffix":""},{"dropping-particle":"","family":"Mubea","given":"Kenneth","non-dropping-particle":"","parse-names":false,"suffix":""},{"dropping-particle":"","family":"Kirimi","given":"Fridah","non-dropping-particle":"","parse-names":false,"suffix":""},{"dropping-particle":"","family":"Menz","given":"Gunter","non-dropping-particle":"","parse-names":false,"suffix":""},{"dropping-particle":"","family":"Kuria","given":"David N.","non-dropping-particle":"","parse-names":false,"suffix":""},{"dropping-particle":"","family":"Verhoeven","given":"Geert Julien","non-dropping-particle":"","parse-names":false,"suffix":""},{"dropping-particle":"","family":"Agudo","given":"Paula","non-dropping-particle":"","parse-names":false,"suffix":""},{"dropping-particle":"","family":"Pajas","given":"Jorge","non-dropping-particle":"","parse-names":false,"suffix":""},{"dropping-particle":"","family":"Pérez-Cabello","given":"Fernando","non-dropping-particle":"","parse-names":false,"suffix":""},{"dropping-particle":"","family":"Redón","given":"Jaime","non-dropping-particle":"","parse-names":false,"suffix":""},{"dropping-particle":"","family":"Lebrón","given":"Beatriz","non-dropping-particle":"","parse-names":false,"suffix":""},{"dropping-particle":"","family":"Verhoeven","given":"Geert Julien","non-dropping-particle":"","parse-names":false,"suffix":""},{"dropping-particle":"","family":"Vermeulen","given":"Frank","non-dropping-particle":"","parse-names":false,"suffix":""}],"container-title":"Journal of Archaeological Method and Theory","id":"ITEM-1","issue":"9","issued":{"date-parts":[["2012"]]},"page":"28-42","publisher":"Elsevier","title":"Automated extraction of archaeological traces by a modified variance analysis","type":"article-journal","volume":"45"},"uris":["http://www.mendeley.com/documents/?uuid=48bb7b73-c01b-48ed-b027-52cf7f865532"]},{"id":"ITEM-2","itemData":{"DOI":"10.4236/ars.2016.51003","ISSN":"2169-267X","abstract":"Soil moisture is an important parameter that drives agriculture, climate and hydrological systems. In addition, retrieval of soil moisture is important in the analysis as well as its influence on these systems. Radar imagery is best suited for this retrieval due to its all-weather capability and independence from solar irradiation. Soil moisture retrieval was done for the Malinda Wetland, Tanzania, during two time periods, March and September 2013. The aim of this paper was to analyze soil moisture retrieval performance when vegetation contribution is taken into account. Backscatter values were obtained from TerraSAR-X Spotlight mode imagery taken in March and September 2013. The backscatter values recorded by SAR imagery are influenced by vegetation, soil roughness and soil moisture. Thus, in order to obtain the backscatter due to soil moisture, the roughness and vegetation contribution are determined and decoupled from total backscatter. The roughness parameters were obtained from a Digital Surface Model (DSM) from Unmanned Aerial Vehicle (UAV) photographs whereas the vegetation parameter was obtained by inverting the Water Cloud Model (WCM). Lastly, soil moisture was retrieved using the Oh Model. The coefficient of correlation between the observed and retrieved was 0.39 for the month of March and 0.65 in the month of August. When the vegetation contribution was considered, the r2 for March was 0.64 and that in August was 0.74. The results revealed that accounting for vegetation improved soil moisture retrieval.","author":[{"dropping-particle":"","family":"Thonfeld","given":"Frank","non-dropping-particle":"","parse-names":false,"suffix":""},{"dropping-particle":"","family":"Amler","given":"Esther","non-dropping-particle":"","parse-names":false,"suffix":""},{"dropping-particle":"","family":"Misana","given":"Salome","non-dropping-particle":"","parse-names":false,"suffix":""},{"dropping-particle":"","family":"Mubea","given":"Kenneth","non-dropping-particle":"","parse-names":false,"suffix":""},{"dropping-particle":"","family":"Kirimi","given":"Fridah","non-dropping-particle":"","parse-names":false,"suffix":""},{"dropping-particle":"","family":"Menz","given":"Gunter","non-dropping-particle":"","parse-names":false,"suffix":""},{"dropping-particle":"","family":"Kuria","given":"David N.","non-dropping-particle":"","parse-names":false,"suffix":""}],"container-title":"Advances in Remote Sensing","id":"ITEM-2","issue":"01","issued":{"date-parts":[["2016"]]},"page":"28-42","title":"Influence of Vegetation Cover on the Oh Soil Moisture Retrieval Model: A Case Study of the Malinda Wetland, Tanzania","type":"article-journal","volume":"05"},"uris":["http://www.mendeley.com/documents/?uuid=61c7b623-0957-4a41-ad16-89226c6a2b4f"]},{"id":"ITEM-3","itemData":{"DOI":"10.3390/SU11123339","ISSN":"20711050","abstract":"Optical remote sensing has been widely used for the identification of archaeological proxies. Such proxies, known as crop or soil marks, can be detected in multispectral images due to their spectral signatures and the distinct contrast that they provide in relation to the surrounding area. The current availability of high-resolution satellite datasets has enabled researchers to provide new methodologies and algorithms that can further enhance archaeological proxies supporting thus image-interpretation. However, a critical point that remains unsolved is the detection of crop and soil marks in non-homogenous environments. In these areas, interpretation is problematic even after the application of sophisticated image enhancement analysis techniques due to the mixed landscape and spectral confusion produced from the high-resolution datasets. To overcome this problem, we propose an image-based methodology in which the vegetation is suppressed following the \"forced invariance\" method and then we apply a linear orthogonal transformation to the suppressed spectral bands. The new Red-Green-Blue (RGB) image corresponds to a new three-band spectral space where the three axes are linked with the crop mark, vegetation, and soil components. The study evaluates the proposed approach in the archaeological site of \"Nea Paphos\" in Cyprus using aWorldView-2 multispectral image aiming to overcome the limitations of the mixed environments.","author":[{"dropping-particle":"","family":"Agapiou","given":"Athos","non-dropping-particle":"","parse-names":false,"suffix":""}],"container-title":"Sustainability (Switzerland)","id":"ITEM-3","issue":"12","issued":{"date-parts":[["2019"]]},"title":"Enhancement of archaeological proxies at non-homogenous environments in Remotely Sensed Imagery","type":"article-journal","volume":"11"},"uris":["http://www.mendeley.com/documents/?uuid=309b2182-5053-4378-abd2-db4c1269b21e"]}],"mendeley":{"formattedCitation":"[22–24]","manualFormatting":"[22]–[24]","plainTextFormattedCitation":"[22–24]","previouslyFormattedCitation":"[22–24]"},"properties":{"noteIndex":0},"schema":"https://github.com/citation-style-language/schema/raw/master/csl-citation.json"}</w:instrText>
      </w:r>
      <w:r w:rsidRPr="0024372F">
        <w:fldChar w:fldCharType="separate"/>
      </w:r>
      <w:r w:rsidRPr="0024372F">
        <w:t>[22</w:t>
      </w:r>
      <w:r w:rsidR="002027A9">
        <w:t>-</w:t>
      </w:r>
      <w:r w:rsidRPr="0024372F">
        <w:t>24]</w:t>
      </w:r>
      <w:r w:rsidRPr="0024372F">
        <w:rPr>
          <w:lang w:val="en-US"/>
        </w:rPr>
        <w:fldChar w:fldCharType="end"/>
      </w:r>
      <w:r w:rsidRPr="0024372F">
        <w:t xml:space="preserve">, the detection of chlorophyll vegetation </w:t>
      </w:r>
      <w:r w:rsidRPr="0024372F">
        <w:fldChar w:fldCharType="begin" w:fldLock="1"/>
      </w:r>
      <w:r w:rsidRPr="0024372F">
        <w:instrText>ADDIN CSL_CITATION {"citationItems":[{"id":"ITEM-1","itemData":{"DOI":"10.1016/S0176-1617(96)80070-8","ISSN":"0176-1617","author":[{"dropping-particle":"","family":"Cibula","given":"William G","non-dropping-particle":"","parse-names":false,"suffix":""}],"container-title":"Journal of Plant Physiology","id":"ITEM-1","issue":"5","issued":{"date-parts":[["1996"]]},"page":"515-522","publisher":"Gustav Fischer Verlag, Stuttgart","title":"Narrow-band Reflectance Imagery Compared with Thermal Imagery for Early Detection of Plant Stress","type":"article-journal","volume":"148"},"uris":["http://www.mendeley.com/documents/?uuid=cd5b008e-d566-4054-87a6-a4ad163a9ec0"]},{"id":"ITEM-2","itemData":{"abstract":"Remarkably similar results have been reported in a number of studies that evaluated patterns of change in leaf reflectance spectra within the 400–850 nm wavelength range that occur with plant physiological stress. A variety of stressors have been imposed on species ranging from grasses to conifers and deciduous trees. In all cases, the maximum difference between control and stressed states occurred as a reflectance increase near 700 nm. This common response near 700 nm, as well as correspondingly increased reflectance in the green-yellow spectrum, are explained by the tendency of stress to reduce leaf chlorophyll concentration and by the in vivo absorption properties of chlorophyll. To determine the extent to which stress-induced changes in the reflectance of stressed vegetation at the landscape scale may be similar to those observed commonly for individual leaves, a row crop of corn was exposed to various levels of N fertilization, and canopy reflectances were measured using AVIRIS imagery. Changes in corn canopy reflectance with N deficiency were spectrally similar to the commonly observed leaf reflectance responses to stress, with maximum reflectance differences between N-deficient and control plots at 730 nm. Only far-red reflectance increased significantly (P=0.05) with relatively mild N deficiency, but reflectance in the green and far-red spectra correlated equally well with field estimates of leaf chlorophyll and laboratory measurements of leaf N concentration. A complete lack of N fertilizer increased reflectance significantly in both the green and far-red spectra and decreased reflectance in the near-infrared. Additionally, short-term water stress caused changes in corn canopy reflectance that differed from the responses to N deficiency, altering reflectance substantially only in the near-infrared, where it increased by as much as 2.5 percent. Consequently, remote sensing may be used not only to detect plant stress in monoculture stands but also to predict its cause.","author":[{"dropping-particle":"","family":"Carter","given":"Gregory A","non-dropping-particle":"","parse-names":false,"suffix":""},{"dropping-particle":"","family":"Estep","given":"Lee","non-dropping-particle":"","parse-names":false,"suffix":""}],"container-title":"Laboratory Spectroscopy to Remotely Sensed Spectra of Terrestrial Ecosystems","id":"ITEM-2","issued":{"date-parts":[["2002"]]},"page":"271-293","title":"Chapter 12 GENERAL SPECTRAL CHARACTERISTICS OF LEAF REFLECTANCE RESPONSES TO PLANT STRESS AND THEIR MANIFESTATION AT THE LANDSCAPE SCALE","type":"article-journal"},"uris":["http://www.mendeley.com/documents/?uuid=437f1cc1-b74d-425d-92d2-4cb837f0345f"]},{"id":"ITEM-3","itemData":{"DOI":"10.1080/10798587.2013.824176","ISSN":"10798587","abstract":"Leaf area index (LAI) is a key variable to reflect crop growth status and forecast crop yield. Many spectral vegetation indices (SVIs) suffer the saturation effect which limits the usefulness of optical remote sensing for crop LAI retrieval. Besides, leaf chlorophyll concentration and soil background reflectance are also two main factors to influence crop LAI retrieval using SVIs. In order to make better use of SVIs for crop LAI retrieval, it is significant to evaluate the performances of SVIs under varying conditions. In this context, PROSPECT and SAILH models were used to simulate a wide range of crop canopy reflectance in an attempt to conduct a comparative analysis. The sensitivity function was introduced to investigate the sensitivity of SVIs over the range of LAI. This sensitivity function is capable of quantifying the detailed relationship between SVIs and LAI. It is different with the regression based statistical parameters, such as coefficient of determination and root mean square, can only evaluate the overall performances of SVIs. The experimental results indicated that (1) LAI = 3 was an appropriate demarcation point for comparative analyses of SVIs; (2) when LAI was no more than three, the variations of soil background had significant negative effects on SVIs. LAI Determining Index (LAIDI), Optimized Soil-adjusted Vegetation Index (OSVI) and Renormalized Difference Vegetation Index (RDVI) were relatively optimal choices for LAI retrieval; (3) when LAI was larger than three, leaf chlorophyll concentration played an important role in influencing the performances of SVIs. Enhanced Vegetation Index 2(EVI2), LAIDI, RDVI, Soil Adjusted Vegetation Index (SAVI), Modified Triangular Vegetation Index 2(MTVI2) and Modified Chlorophyll Absorption Ratio Index 2 (MCARI2) were less affected by leaf chlorophyll concentration and had better performances due to their higher sensitivity to LAI even when LAI reached seven. The analytical results could be used to guide the selection of optimal SVIs for crop LAI retrieval in different phenology periods. © 2013 Copyright TSI® Press.","author":[{"dropping-particle":"","family":"Fu","given":"Yuanyuan","non-dropping-particle":"","parse-names":false,"suffix":""},{"dropping-particle":"","family":"Yang","given":"Guijun","non-dropping-particle":"","parse-names":false,"suffix":""},{"dropping-particle":"","family":"Wang","given":"Jihua","non-dropping-particle":"","parse-names":false,"suffix":""},{"dropping-particle":"","family":"Feng","given":"Haikuan","non-dropping-particle":"","parse-names":false,"suffix":""}],"container-title":"Intelligent Automation and Soft Computing","id":"ITEM-3","issue":"3","issued":{"date-parts":[["2013"]]},"page":"315-326","title":"A comparative analysis of spectral vegetation indices to estimate crop leaf area index","type":"article-journal","volume":"19"},"uris":["http://www.mendeley.com/documents/?uuid=7a114e23-3dc2-42fa-a3ca-2297fb0ff826"]}],"mendeley":{"formattedCitation":"[25–27]","manualFormatting":"[25]–[26]","plainTextFormattedCitation":"[25–27]","previouslyFormattedCitation":"[25–27]"},"properties":{"noteIndex":0},"schema":"https://github.com/citation-style-language/schema/raw/master/csl-citation.json"}</w:instrText>
      </w:r>
      <w:r w:rsidRPr="0024372F">
        <w:fldChar w:fldCharType="separate"/>
      </w:r>
      <w:r w:rsidRPr="0024372F">
        <w:t>[25</w:t>
      </w:r>
      <w:r w:rsidR="002027A9">
        <w:t>,</w:t>
      </w:r>
      <w:r w:rsidRPr="0024372F">
        <w:t>26]</w:t>
      </w:r>
      <w:r w:rsidRPr="0024372F">
        <w:rPr>
          <w:lang w:val="en-US"/>
        </w:rPr>
        <w:fldChar w:fldCharType="end"/>
      </w:r>
      <w:r w:rsidRPr="0024372F">
        <w:t xml:space="preserve">, and the monitoring of water quality </w:t>
      </w:r>
      <w:r w:rsidRPr="0024372F">
        <w:fldChar w:fldCharType="begin" w:fldLock="1"/>
      </w:r>
      <w:r w:rsidRPr="0024372F">
        <w:instrText>ADDIN CSL_CITATION {"citationItems":[{"id":"ITEM-1","itemData":{"DOI":"doi: 10.1155/2020/5060969. PMID: 32831806","author":[{"dropping-particle":"","family":"Hussein NM","given":"Assaf MN.","non-dropping-particle":"","parse-names":false,"suffix":""}],"container-title":"ScientificWorldJournal.","id":"ITEM-1","issued":{"date-parts":[["2020"]]},"title":"Multispectral Remote Sensing Utilization for Monitoring Chlorophyll-a Levels in Inland Water Bodies in Jordan.","type":"article-journal","volume":"Aug 7;2020"},"uris":["http://www.mendeley.com/documents/?uuid=891d3b34-21ee-4286-aa25-54450c75ee8d"]}],"mendeley":{"formattedCitation":"[28]","manualFormatting":"[27]","plainTextFormattedCitation":"[28]","previouslyFormattedCitation":"[28]"},"properties":{"noteIndex":0},"schema":"https://github.com/citation-style-language/schema/raw/master/csl-citation.json"}</w:instrText>
      </w:r>
      <w:r w:rsidRPr="0024372F">
        <w:fldChar w:fldCharType="separate"/>
      </w:r>
      <w:r w:rsidRPr="0024372F">
        <w:t>[27]</w:t>
      </w:r>
      <w:r w:rsidRPr="0024372F">
        <w:rPr>
          <w:lang w:val="en-US"/>
        </w:rPr>
        <w:fldChar w:fldCharType="end"/>
      </w:r>
      <w:r w:rsidRPr="0024372F">
        <w:t xml:space="preserve">. Archaeological features and their spectral signatures can be identified and determined by observing and interpreting vegetation health, i.e., spectral reflectance and proxy markers of monuments </w:t>
      </w:r>
      <w:r w:rsidRPr="0024372F">
        <w:fldChar w:fldCharType="begin" w:fldLock="1"/>
      </w:r>
      <w:r w:rsidRPr="0024372F">
        <w:instrText>ADDIN CSL_CITATION {"citationItems":[{"id":"ITEM-1","itemData":{"DOI":"10.1016/j.rse.2019.111280","ISSN":"00344257","abstract":"Archaeological and cultural heritage (ACH), one of the core carriers of cultural diversity on our planet, has a direct bearing on the sustainable development of mankind. Documenting and protecting ACH is the common responsibility and duty of all humanity. It is governed by UNESCO along with the scientific communities that foster and encourage the use of advanced non-invasive techniques and methods for promoting scientific research into ACH and conservation of ACH sites. The use of remote sensing, a non-destructive tool, is increasingly popular by specialists around the world as it allows fast prospecting and mapping at multiple scales, rapid analysis of multisource datasets, and dynamic monitoring of ACH sites and their surrounding environments. The cost of using remote sensing is lower or even zero in practical applications. In this review, in order to discuss the advantages of airborne and spaceborne remote sensing (ASRS), the principles that make passive (photography, multispectral and hyperspectral) and active (synthetic aperture radar (SAR) and light detection and ranging radar (LiDAR)) imaging techniques suitable for ACH applications are first summarized and pointed out; a review of ASRS and the methodologies used over the past century is then presented together with relevant highlights from well-known research projects. Selected case studies from Mediterranean regions to East Asia illustrate how ASRS can be used effectively to investigate and understand archaeological features at multiple -scales and to monitor and assess the conservation status of cultural heritage sites in the context of sustainable development. An in-depth discussion on the limitations of ASRS and associated remaining challenges is presented along with conclusions and a look at future trends.","author":[{"dropping-particle":"","family":"Luo","given":"Lei","non-dropping-particle":"","parse-names":false,"suffix":""},{"dropping-particle":"","family":"Wang","given":"Xinyuan","non-dropping-particle":"","parse-names":false,"suffix":""},{"dropping-particle":"","family":"Guo","given":"Huadong","non-dropping-particle":"","parse-names":false,"suffix":""},{"dropping-particle":"","family":"Lasaponara","given":"Rosa","non-dropping-particle":"","parse-names":false,"suffix":""},{"dropping-particle":"","family":"Zong","given":"Xin","non-dropping-particle":"","parse-names":false,"suffix":""},{"dropping-particle":"","family":"Masini","given":"Nicola","non-dropping-particle":"","parse-names":false,"suffix":""},{"dropping-particle":"","family":"Wang","given":"Guizhou","non-dropping-particle":"","parse-names":false,"suffix":""},{"dropping-particle":"","family":"Shi","given":"Pilong","non-dropping-particle":"","parse-names":false,"suffix":""},{"dropping-particle":"","family":"Khatteli","given":"Houcine","non-dropping-particle":"","parse-names":false,"suffix":""},{"dropping-particle":"","family":"Chen","given":"Fulong","non-dropping-particle":"","parse-names":false,"suffix":""},{"dropping-particle":"","family":"Tariq","given":"Shahina","non-dropping-particle":"","parse-names":false,"suffix":""},{"dropping-particle":"","family":"Shao","given":"Jie","non-dropping-particle":"","parse-names":false,"suffix":""},{"dropping-particle":"","family":"Bachagha","given":"Nabil","non-dropping-particle":"","parse-names":false,"suffix":""},{"dropping-particle":"","family":"Yang","given":"Ruixia","non-dropping-particle":"","parse-names":false,"suffix":""},{"dropping-particle":"","family":"Yao","given":"Ya","non-dropping-particle":"","parse-names":false,"suffix":""}],"container-title":"Remote Sensing of Environment","id":"ITEM-1","issue":"March","issued":{"date-parts":[["2019"]]},"publisher":"Elsevier","title":"Airborne and spaceborne remote sensing for archaeological and cultural heritage applications: A review of the century (1907–2017)","type":"article-journal","volume":"232"},"uris":["http://www.mendeley.com/documents/?uuid=1955e2fc-672d-4c90-8a30-a225d4ac43f9"]},{"id":"ITEM-2","itemData":{"DOI":"10.1002/arp.1721","ISSN":"10990763","abstract":"Diminishing returns of archaeological crop marks in lowland areas from traditional observer-directed visible spectrum aerial survey with standard photographic cameras highlights a need to explore alternative approaches to maintain the effectiveness of survey programmes. Developments in low-cost multispectral remote sensing have in part been driven by the growth of precision agriculture and, whilst contributing to the intensification of land use, these technologies may offer new spectral and temporal capacities for detecting, recording and monitoring historic landscapes. However, there are significant challenges to the deployment of such approaches, not least the costs of data acquisition and uncertainty about the best conditions for data collection. This study assesses the effectiveness of the Parrot Sequoia, a relatively low-cost multispectral sensor recently developed for agricultural applications, for the detection of crop marks to inform archaeological survey. A series of observations were taken with the sensor mounted on an unmanned aerial vehicle (UAV) at Ravenshall, Fife, Scotland, between April and July 2017. The resulting reflectance maps are compared to red, green and blue (RGB) photographs taken with a Nikon D800E digital camera during seven light aircraft surveys, with the aim of testing the sensors' comparative ability to record crop mark developments over time. The contrast in reflectance between vegetation samples growing over buried archaeological remains and the surrounding field was assessed through separability in regional histogram values across different image band combinations. Separable values indicative of crop marks were found in both the multispectral and RGB results from June 2017 onwards. Several vegetation index (VI) maps, particularly the Simple Ratio (SR) and Normalised Difference Vegetation Index (NDVI), were found to be effective for distinguishing crop marks in the multispectral results. The Sequoia is a cost-effective sensor offering improved spectral resolution over the RGB photographs, showing potential for subtle crop mark detection across compact study areas.","author":[{"dropping-particle":"","family":"Moriarty","given":"Charles","non-dropping-particle":"","parse-names":false,"suffix":""},{"dropping-particle":"","family":"Cowley","given":"Dave C.","non-dropping-particle":"","parse-names":false,"suffix":""},{"dropping-particle":"","family":"Wade","given":"Tom","non-dropping-particle":"","parse-names":false,"suffix":""},{"dropping-particle":"","family":"Nichol","given":"Caroline J.","non-dropping-particle":"","parse-names":false,"suffix":""}],"container-title":"Archaeological Prospection","id":"ITEM-2","issue":"1","issued":{"date-parts":[["2019"]]},"page":"33-46","title":"Deploying multispectral remote sensing for multi-temporal analysis of archaeological crop stress at Ravenshall, Fife, Scotland","type":"article-journal","volume":"26"},"uris":["http://www.mendeley.com/documents/?uuid=dcf2f1cb-efc2-481d-9773-75bfd981c22b"]},{"id":"ITEM-3","itemData":{"DOI":"10.1007/s12524-021-01431-5","ISBN":"0123456789","ISSN":"09743006","abstract":"The identification of archaeological features via geophysical techniques is widely used for the prospection of new archaeological proxies. However, there are very few integration studies with remote sensing techniques have been reported, especially in the Malaysian context. This study aims to integrate remote sensing analysis throughout surface features through the expediency of Vegetation Indices (VIs) with the ground investigation technique of Electrical Resistivity Tomography (ERT) data to identify archaeological traces in Sungai Batu, Bujang Valley, Kedah. Normalized Difference Vegetation Index (NDVI) and Digital Elevation Model (DEM) were generated to provide visual interpretation and elevation profile to extract the archaeological features. Farther, statistical analyses were conducted to show a strong correlation between two variables data: eight VIs with Resistivity of Buried Properties (RBP) and Resistivity of Ancient River (RAR). The results obtained show that almost all indices attained a high correlation, especially DVI and RDVI which RAR (r = 0.94) and RBP (r = 0.95). In contrast, MSAVI shows a high negative correlation with RAR (r = −0.93) and RBP (r = −0.95). However, NDVI indicates the low correlation in RAR (r = 0.66) compared to RBP (r = 0.95) because we assume this algorithm is less appropriate in detecting underground water rather than extracting the vegetation spectral characteristics. It is therefore recommended that the application of the appropriate algorithm is a Normalized Difference Water Index (NDWI) compared to NDVI. Finally, it is anticipated that the outcome of this study could be used to map the potential area of archaeological interest and in the planning for further fieldwork investigation.","author":[{"dropping-particle":"","family":"Roslan","given":"Shairatul Akma","non-dropping-particle":"","parse-names":false,"suffix":""},{"dropping-particle":"","family":"Yakub","given":"Fitri","non-dropping-particle":"","parse-names":false,"suffix":""},{"dropping-particle":"","family":"Saidin","given":"Mokhtar","non-dropping-particle":"","parse-names":false,"suffix":""},{"dropping-particle":"","family":"Rambat","given":"Shuib","non-dropping-particle":"","parse-names":false,"suffix":""},{"dropping-particle":"","family":"Attwa","given":"Mohamed","non-dropping-particle":"","parse-names":false,"suffix":""},{"dropping-particle":"","family":"Rashid","given":"Mohd Zamzuri Ab","non-dropping-particle":"","parse-names":false,"suffix":""}],"container-title":"Journal of the Indian Society of Remote Sensing","id":"ITEM-3","issue":"12","issued":{"date-parts":[["2021"]]},"page":"2959-2975","title":"A Comparative Assessment for the Archaeological Features Detection Using an Integration of Aerial Remote Sensing and Electrical Resistivity in Sungai Batu, Bujang Valley","type":"article-journal","volume":"49"},"uris":["http://www.mendeley.com/documents/?uuid=e06848c9-148f-4f52-98d2-085986c69f23"]}],"mendeley":{"formattedCitation":"[29–31]","manualFormatting":"[28]–[30]","plainTextFormattedCitation":"[29–31]","previouslyFormattedCitation":"[29–31]"},"properties":{"noteIndex":0},"schema":"https://github.com/citation-style-language/schema/raw/master/csl-citation.json"}</w:instrText>
      </w:r>
      <w:r w:rsidRPr="0024372F">
        <w:fldChar w:fldCharType="separate"/>
      </w:r>
      <w:r w:rsidRPr="0024372F">
        <w:t>[28</w:t>
      </w:r>
      <w:r w:rsidR="002027A9">
        <w:t>-</w:t>
      </w:r>
      <w:r w:rsidRPr="0024372F">
        <w:t>30]</w:t>
      </w:r>
      <w:r w:rsidRPr="0024372F">
        <w:rPr>
          <w:lang w:val="en-US"/>
        </w:rPr>
        <w:fldChar w:fldCharType="end"/>
      </w:r>
      <w:r w:rsidRPr="0024372F">
        <w:t xml:space="preserve">. </w:t>
      </w:r>
    </w:p>
    <w:p w14:paraId="2E157ABD" w14:textId="77777777" w:rsidR="0024372F" w:rsidRPr="0024372F" w:rsidRDefault="0024372F" w:rsidP="002027A9">
      <w:pPr>
        <w:pStyle w:val="A"/>
      </w:pPr>
      <w:r w:rsidRPr="0024372F">
        <w:t xml:space="preserve">In Malaysia, the geophysical technique has been broadly applied in archaeology investigation. However, there is a limitation to studies utilizing the integration of both platforms. Moreover, there is no concrete indication, literature, or papers published associated with identifying specific spectra to detect the archaeological proxies in Malaysia. Hence, the study aims to validate the optimal spectral wavelength through spectra analysis by integrating aerial and ground platforms in identifying the archaeological proxies in Sungai Batu, Lembah Bujang. </w:t>
      </w:r>
    </w:p>
    <w:p w14:paraId="091278A9" w14:textId="77777777" w:rsidR="0024372F" w:rsidRPr="0024372F" w:rsidRDefault="0024372F" w:rsidP="0024372F">
      <w:pPr>
        <w:spacing w:after="0" w:line="240" w:lineRule="auto"/>
        <w:jc w:val="both"/>
        <w:rPr>
          <w:rFonts w:cs="Times New Roman"/>
          <w:sz w:val="24"/>
          <w:szCs w:val="24"/>
        </w:rPr>
      </w:pPr>
    </w:p>
    <w:p w14:paraId="24AB9043" w14:textId="77777777" w:rsidR="0024372F" w:rsidRPr="0024372F" w:rsidRDefault="0024372F" w:rsidP="0024372F">
      <w:pPr>
        <w:spacing w:after="0" w:line="240" w:lineRule="auto"/>
        <w:jc w:val="both"/>
        <w:rPr>
          <w:rFonts w:cs="Times New Roman"/>
          <w:b/>
          <w:bCs/>
          <w:sz w:val="24"/>
          <w:szCs w:val="24"/>
          <w:lang w:val="en-US"/>
        </w:rPr>
      </w:pPr>
      <w:r w:rsidRPr="0024372F">
        <w:rPr>
          <w:rFonts w:cs="Times New Roman"/>
          <w:b/>
          <w:bCs/>
          <w:sz w:val="24"/>
          <w:szCs w:val="24"/>
          <w:lang w:val="en-US"/>
        </w:rPr>
        <w:t xml:space="preserve">2. Methods </w:t>
      </w:r>
    </w:p>
    <w:p w14:paraId="64CA1BE6" w14:textId="77777777" w:rsidR="0024372F" w:rsidRPr="0024372F" w:rsidRDefault="0024372F" w:rsidP="0024372F">
      <w:pPr>
        <w:spacing w:after="0" w:line="240" w:lineRule="auto"/>
        <w:jc w:val="both"/>
        <w:rPr>
          <w:rFonts w:cs="Times New Roman"/>
          <w:i/>
          <w:iCs/>
          <w:sz w:val="24"/>
          <w:szCs w:val="24"/>
        </w:rPr>
      </w:pPr>
      <w:r w:rsidRPr="0024372F">
        <w:rPr>
          <w:rFonts w:cs="Times New Roman"/>
          <w:i/>
          <w:iCs/>
          <w:sz w:val="24"/>
          <w:szCs w:val="24"/>
        </w:rPr>
        <w:t xml:space="preserve">2.1 Area of Interest </w:t>
      </w:r>
    </w:p>
    <w:p w14:paraId="389D4449" w14:textId="77777777" w:rsidR="0024372F" w:rsidRPr="0024372F" w:rsidRDefault="0024372F" w:rsidP="0024372F">
      <w:pPr>
        <w:spacing w:after="0" w:line="240" w:lineRule="auto"/>
        <w:jc w:val="both"/>
        <w:rPr>
          <w:rFonts w:cs="Times New Roman"/>
          <w:sz w:val="24"/>
          <w:szCs w:val="24"/>
        </w:rPr>
      </w:pPr>
    </w:p>
    <w:p w14:paraId="4438AECD" w14:textId="6306E9CC" w:rsidR="0024372F" w:rsidRPr="0024372F" w:rsidRDefault="0024372F" w:rsidP="002027A9">
      <w:pPr>
        <w:pStyle w:val="A"/>
      </w:pPr>
      <w:r w:rsidRPr="0024372F">
        <w:t>The Lembah Bujang is the territory of Kedah Tua, known as an ancient kingdom (Old Kedah). It is located in the northern region of the Malay Peninsula, as indicated in Fig</w:t>
      </w:r>
      <w:r w:rsidR="00312EC0">
        <w:t>ure</w:t>
      </w:r>
      <w:r w:rsidRPr="0024372F">
        <w:t xml:space="preserve"> 1. Extending a total of 144 square miles, the Muda River bounds it to the south, the Straits of Melaka to the east, the North-South Highway to the west, and the Bukit Choras to the north </w:t>
      </w:r>
      <w:r w:rsidRPr="0024372F">
        <w:fldChar w:fldCharType="begin" w:fldLock="1"/>
      </w:r>
      <w:r w:rsidRPr="0024372F">
        <w:instrText>ADDIN CSL_CITATION {"citationItems":[{"id":"ITEM-1","itemData":{"author":[{"dropping-particle":"","family":"Adi Haji Taha","given":"","non-dropping-particle":"","parse-names":false,"suffix":""}],"container-title":"JASTOR- Journal of Southeast Asian Studies","id":"ITEM-1","issued":{"date-parts":[["1987"]]},"page":"205-211","title":"Archaeology in Peninsular Malaysia: Past, Present and Future","type":"article-journal","volume":"XVIII, No."},"uris":["http://www.mendeley.com/documents/?uuid=a7492fa3-8402-3043-8fc8-53a910a23308"]}],"mendeley":{"formattedCitation":"[32]","manualFormatting":"[31]","plainTextFormattedCitation":"[32]","previouslyFormattedCitation":"[32]"},"properties":{"noteIndex":0},"schema":"https://github.com/citation-style-language/schema/raw/master/csl-citation.json"}</w:instrText>
      </w:r>
      <w:r w:rsidRPr="0024372F">
        <w:fldChar w:fldCharType="separate"/>
      </w:r>
      <w:r w:rsidRPr="0024372F">
        <w:t>[31]</w:t>
      </w:r>
      <w:r w:rsidRPr="0024372F">
        <w:rPr>
          <w:lang w:val="en-US"/>
        </w:rPr>
        <w:fldChar w:fldCharType="end"/>
      </w:r>
      <w:r w:rsidRPr="0024372F">
        <w:t xml:space="preserve">. Geographically, the Lembah Bujang is situated near several notable features: mountains, barren hills, river valleys, and beaches </w:t>
      </w:r>
      <w:r w:rsidRPr="0024372F">
        <w:fldChar w:fldCharType="begin" w:fldLock="1"/>
      </w:r>
      <w:r w:rsidRPr="0024372F">
        <w:instrText>ADDIN CSL_CITATION {"citationItems":[{"id":"ITEM-1","itemData":{"DOI":"10.2307/41493225","author":[{"dropping-particle":"","family":"RAHMAN","given":"NIK HASSAN SHUHAIMI BIN NIK ABD. and KAMARUDDIN BIN ZAKARIA","non-dropping-particle":"","parse-names":false,"suffix":""},{"dropping-particle":"BIN","family":"ZAKARIA","given":"KAMARUDDIN","non-dropping-particle":"","parse-names":false,"suffix":""}],"container-title":"Journal of the Malaysian Branch of the Royal Asiatic Society","id":"ITEM-1","issued":{"date-parts":[["1993"]]},"page":"73-80","publisher":"Malaysian Branch of the Royal Asiatic Society","title":"RECENT ARCHAEOLOGICAL DISCOVERIES IN SUNGAI MAS, KUALA MUDA, KEDAH","type":"article-journal","volume":"66"},"uris":["http://www.mendeley.com/documents/?uuid=94006e1b-4e89-34fc-a32a-57b078dbdc61"]}],"mendeley":{"formattedCitation":"[33]","manualFormatting":"[32]","plainTextFormattedCitation":"[33]","previouslyFormattedCitation":"[33]"},"properties":{"noteIndex":0},"schema":"https://github.com/citation-style-language/schema/raw/master/csl-citation.json"}</w:instrText>
      </w:r>
      <w:r w:rsidRPr="0024372F">
        <w:fldChar w:fldCharType="separate"/>
      </w:r>
      <w:r w:rsidRPr="0024372F">
        <w:t>[32]</w:t>
      </w:r>
      <w:r w:rsidRPr="0024372F">
        <w:rPr>
          <w:lang w:val="en-US"/>
        </w:rPr>
        <w:fldChar w:fldCharType="end"/>
      </w:r>
      <w:r w:rsidRPr="0024372F">
        <w:t xml:space="preserve">. The Merbok River and the Muda River nourish the Lembah Bujang. Mount Jerai, at 1300 meters in altitude, is the region's tallest peak; it is composed of shale rock and layers of mineral components, most notably quartzite </w:t>
      </w:r>
      <w:r w:rsidRPr="0024372F">
        <w:fldChar w:fldCharType="begin" w:fldLock="1"/>
      </w:r>
      <w:r w:rsidRPr="0024372F">
        <w:instrText>ADDIN CSL_CITATION {"citationItems":[{"id":"ITEM-1","itemData":{"author":[{"dropping-particle":"","family":"Khoo","given":"T T","non-dropping-particle":"","parse-names":false,"suffix":""}],"id":"ITEM-1","issue":"1972","issued":{"date-parts":[["1996"]]},"title":"Geomorphological evolution of the Me &amp; ok estuary area and its impact on the early state of Kedah , northwest peninsular Malaysia","type":"article-journal","volume":"9547"},"uris":["http://www.mendeley.com/documents/?uuid=2316579e-9514-40fc-9a29-90a686c440bf"]}],"mendeley":{"formattedCitation":"[34]","manualFormatting":"[33]","plainTextFormattedCitation":"[34]","previouslyFormattedCitation":"[34]"},"properties":{"noteIndex":0},"schema":"https://github.com/citation-style-language/schema/raw/master/csl-citation.json"}</w:instrText>
      </w:r>
      <w:r w:rsidRPr="0024372F">
        <w:fldChar w:fldCharType="separate"/>
      </w:r>
      <w:r w:rsidRPr="0024372F">
        <w:t>[33]</w:t>
      </w:r>
      <w:r w:rsidRPr="0024372F">
        <w:rPr>
          <w:lang w:val="en-US"/>
        </w:rPr>
        <w:fldChar w:fldCharType="end"/>
      </w:r>
      <w:r w:rsidRPr="0024372F">
        <w:t xml:space="preserve">. Therefore, its strategic position was considered the hub of the entire archipelago. Lembah Bujang was an important administrative centre, economic hub, and port during its heyday. In the 1840s, Colonel James Low launched the archaeological research of Lembah Bujang [34]. However, FW Irby discovered the remnants of an ancient temple on Mount Jerai in 1894. The ancient site of Lembah Bujang was the focus of this investigation. Several landowners and project </w:t>
      </w:r>
      <w:r w:rsidRPr="0024372F">
        <w:lastRenderedPageBreak/>
        <w:t xml:space="preserve">developers discovered archaeological evidence associated with Lembah Bujang, a previously derelict woodland site in the Sungai Batu area. The CGAR team found signs of a sea or lake through a combination of transient electromagnetic (TEM) research and core drilling stratigraphy, as reported in </w:t>
      </w:r>
      <w:r w:rsidRPr="0024372F">
        <w:fldChar w:fldCharType="begin" w:fldLock="1"/>
      </w:r>
      <w:r w:rsidRPr="0024372F">
        <w:instrText>ADDIN CSL_CITATION {"citationItems":[{"id":"ITEM-1","itemData":{"abstract":"This paper discusses the preliminary data of iron smelting site (SB2A) found in protohistorical site of Bujang Valley, Kedah. This site was dated to 3rd - 5th CE. The findings include metal artifacts, remains of furnaces, thousands of iron ores, tuyeres and slags. As the first iron smelting site ever discovered in Bujang Valley, this discovery had given a big impact that may be able to change the old paragdigm about the existence of a possible civilization in Malaysia. The discovery shows that from the 3rd CE, there had been a society that had already acquired the technology of iron smelting in Bujang Valley. The actual form of the structure, in terms of the shape of the furnace, is yet to be identified due to the insufficiency of the intact structure discovered during the excavation. The current research indicates that a large-scale iron-smelting industry existed in Bujang Valley from 3rd - 5th CE. This paper will also attempt to discuss the result of the preliminary analysis on the iron artefact, through the employment of some methods such as polishing section, X-ray fluorescence (XRF) and Scanning electron microscope (SEM).","author":[{"dropping-particle":"","family":"Naizatul Akma Mokhtar","given":"Mokhtar Saidin &amp; Jeffrey Abdullah","non-dropping-particle":"","parse-names":false,"suffix":""}],"container-title":"Postgraduated Forum 2011","id":"ITEM-1","issue":"January 2011","issued":{"date-parts":[["2011"]]},"title":"the Ancient Iron Smelting in Sg. Batu, Bujang Valley, Kedah","type":"article-journal"},"uris":["http://www.mendeley.com/documents/?uuid=03db8b7f-a938-4565-b232-ca66fc7c7468"]}],"mendeley":{"formattedCitation":"[35]","manualFormatting":"[35]","plainTextFormattedCitation":"[35]","previouslyFormattedCitation":"[36]"},"properties":{"noteIndex":0},"schema":"https://github.com/citation-style-language/schema/raw/master/csl-citation.json"}</w:instrText>
      </w:r>
      <w:r w:rsidRPr="0024372F">
        <w:fldChar w:fldCharType="separate"/>
      </w:r>
      <w:r w:rsidRPr="0024372F">
        <w:t>[35]</w:t>
      </w:r>
      <w:r w:rsidRPr="0024372F">
        <w:rPr>
          <w:lang w:val="en-US"/>
        </w:rPr>
        <w:fldChar w:fldCharType="end"/>
      </w:r>
      <w:r w:rsidRPr="0024372F">
        <w:t xml:space="preserve">. </w:t>
      </w:r>
    </w:p>
    <w:p w14:paraId="4D96D6B3" w14:textId="77777777" w:rsidR="0024372F" w:rsidRPr="0024372F" w:rsidRDefault="0024372F" w:rsidP="002027A9">
      <w:pPr>
        <w:pStyle w:val="A"/>
      </w:pPr>
      <w:r w:rsidRPr="0024372F">
        <w:t>The research also revealed that Sungai Batu was an important location as early as the first century CE. Only 52 of the 97 mounds planned for excavation at Sungai Batu were excavated. A total of five mounds were excavated between the years 2007 and 2010, with another fifteen mounds being uncovered in the years 2010 and 2011. Meanwhile, 32 mounds were dug during the study's second phase, which lasted from 2011 to 2021. The excavation discovered evidence of an iron smelting area (from the first century CE) and the remains of an ancient brick structure (</w:t>
      </w:r>
      <w:r w:rsidRPr="0024372F">
        <w:rPr>
          <w:i/>
          <w:iCs/>
        </w:rPr>
        <w:t>Candi</w:t>
      </w:r>
      <w:r w:rsidRPr="0024372F">
        <w:t>) from the second century CE. This finding is evidence of long-lost religious practices and rituals in the Lembah Bujang.</w:t>
      </w:r>
    </w:p>
    <w:p w14:paraId="2EB75DE8" w14:textId="77777777" w:rsidR="0024372F" w:rsidRPr="0024372F" w:rsidRDefault="0024372F" w:rsidP="002027A9">
      <w:pPr>
        <w:pStyle w:val="A"/>
      </w:pPr>
      <w:r w:rsidRPr="0024372F">
        <w:t>Moreover, the excavation team uncovered what is assumed to be a jetty, which included the remains of a roofed, tiled platform and brick platforms dating back to at least the 2</w:t>
      </w:r>
      <w:r w:rsidRPr="0024372F">
        <w:rPr>
          <w:vertAlign w:val="superscript"/>
        </w:rPr>
        <w:t>nd</w:t>
      </w:r>
      <w:r w:rsidRPr="0024372F">
        <w:t xml:space="preserve"> century CE. In addition, the researchers discovered evidence of a </w:t>
      </w:r>
      <w:r w:rsidRPr="0024372F">
        <w:rPr>
          <w:i/>
          <w:iCs/>
        </w:rPr>
        <w:t>Syahbandar</w:t>
      </w:r>
      <w:r w:rsidRPr="0024372F">
        <w:t>, an administrative complex, and a warehouse area dating back to the sixth century BCE. Figure 1 depicts an overall aerial perspective of Sungai Batu.</w:t>
      </w:r>
    </w:p>
    <w:p w14:paraId="4B9A4EB1" w14:textId="77777777" w:rsidR="0024372F" w:rsidRPr="0024372F" w:rsidRDefault="0024372F" w:rsidP="0024372F">
      <w:pPr>
        <w:spacing w:after="0" w:line="240" w:lineRule="auto"/>
        <w:jc w:val="both"/>
        <w:rPr>
          <w:rFonts w:cs="Times New Roman"/>
          <w:sz w:val="24"/>
          <w:szCs w:val="24"/>
        </w:rPr>
      </w:pPr>
    </w:p>
    <w:p w14:paraId="79C9CC17" w14:textId="77777777" w:rsidR="0024372F" w:rsidRPr="0024372F" w:rsidRDefault="0024372F" w:rsidP="004251DA">
      <w:pPr>
        <w:spacing w:after="0" w:line="240" w:lineRule="auto"/>
        <w:jc w:val="center"/>
        <w:rPr>
          <w:rFonts w:cs="Times New Roman"/>
          <w:sz w:val="24"/>
          <w:szCs w:val="24"/>
        </w:rPr>
      </w:pPr>
      <w:r w:rsidRPr="0024372F">
        <w:rPr>
          <w:rFonts w:cs="Times New Roman"/>
          <w:noProof/>
          <w:sz w:val="24"/>
          <w:szCs w:val="24"/>
        </w:rPr>
        <w:drawing>
          <wp:inline distT="0" distB="0" distL="0" distR="0" wp14:anchorId="555E929B" wp14:editId="0E42B634">
            <wp:extent cx="4234020" cy="27264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4775" cy="2752666"/>
                    </a:xfrm>
                    <a:prstGeom prst="rect">
                      <a:avLst/>
                    </a:prstGeom>
                    <a:noFill/>
                  </pic:spPr>
                </pic:pic>
              </a:graphicData>
            </a:graphic>
          </wp:inline>
        </w:drawing>
      </w:r>
    </w:p>
    <w:p w14:paraId="4DA78EDB" w14:textId="48D70261" w:rsidR="0024372F" w:rsidRPr="004251DA" w:rsidRDefault="0024372F" w:rsidP="004251DA">
      <w:pPr>
        <w:spacing w:after="0" w:line="240" w:lineRule="auto"/>
        <w:ind w:left="1530" w:right="1556"/>
        <w:jc w:val="both"/>
        <w:rPr>
          <w:rFonts w:cs="Times New Roman"/>
        </w:rPr>
      </w:pPr>
      <w:r w:rsidRPr="004251DA">
        <w:rPr>
          <w:rFonts w:cs="Times New Roman"/>
          <w:b/>
          <w:bCs/>
        </w:rPr>
        <w:t>Fig. 1.</w:t>
      </w:r>
      <w:r w:rsidRPr="004251DA">
        <w:rPr>
          <w:rFonts w:cs="Times New Roman"/>
        </w:rPr>
        <w:t> Aerial photography of the archaeological complex of Sungai Batu (close-up image) from the DJI P4-RTK Multispectral drone image captured in March 2021</w:t>
      </w:r>
    </w:p>
    <w:p w14:paraId="3020552E" w14:textId="77777777" w:rsidR="0024372F" w:rsidRPr="0024372F" w:rsidRDefault="0024372F" w:rsidP="0024372F">
      <w:pPr>
        <w:spacing w:after="0" w:line="240" w:lineRule="auto"/>
        <w:jc w:val="both"/>
        <w:rPr>
          <w:rFonts w:cs="Times New Roman"/>
          <w:sz w:val="24"/>
          <w:szCs w:val="24"/>
        </w:rPr>
      </w:pPr>
    </w:p>
    <w:p w14:paraId="63709595" w14:textId="77777777" w:rsidR="0024372F" w:rsidRPr="0024372F" w:rsidRDefault="0024372F" w:rsidP="0024372F">
      <w:pPr>
        <w:spacing w:after="0" w:line="240" w:lineRule="auto"/>
        <w:jc w:val="both"/>
        <w:rPr>
          <w:rFonts w:cs="Times New Roman"/>
          <w:i/>
          <w:iCs/>
          <w:sz w:val="24"/>
          <w:szCs w:val="24"/>
        </w:rPr>
      </w:pPr>
      <w:r w:rsidRPr="0024372F">
        <w:rPr>
          <w:rFonts w:cs="Times New Roman"/>
          <w:i/>
          <w:iCs/>
          <w:sz w:val="24"/>
          <w:szCs w:val="24"/>
        </w:rPr>
        <w:t>2.2 Tools</w:t>
      </w:r>
    </w:p>
    <w:p w14:paraId="71276718" w14:textId="1FA4E1C7" w:rsidR="0024372F" w:rsidRPr="0024372F" w:rsidRDefault="002027A9" w:rsidP="0024372F">
      <w:pPr>
        <w:spacing w:after="0" w:line="240" w:lineRule="auto"/>
        <w:jc w:val="both"/>
        <w:rPr>
          <w:rFonts w:cs="Times New Roman"/>
          <w:i/>
          <w:iCs/>
          <w:sz w:val="24"/>
          <w:szCs w:val="24"/>
        </w:rPr>
      </w:pPr>
      <w:r>
        <w:rPr>
          <w:rFonts w:cs="Times New Roman"/>
          <w:i/>
          <w:iCs/>
          <w:sz w:val="24"/>
          <w:szCs w:val="24"/>
        </w:rPr>
        <w:t xml:space="preserve">2.2.1 </w:t>
      </w:r>
      <w:r w:rsidR="0024372F" w:rsidRPr="0024372F">
        <w:rPr>
          <w:rFonts w:cs="Times New Roman"/>
          <w:i/>
          <w:iCs/>
          <w:sz w:val="24"/>
          <w:szCs w:val="24"/>
        </w:rPr>
        <w:t xml:space="preserve">SPOT-5 and SPOT -7 </w:t>
      </w:r>
      <w:r w:rsidRPr="0024372F">
        <w:rPr>
          <w:rFonts w:cs="Times New Roman"/>
          <w:i/>
          <w:iCs/>
          <w:sz w:val="24"/>
          <w:szCs w:val="24"/>
        </w:rPr>
        <w:t>satellite dataset</w:t>
      </w:r>
    </w:p>
    <w:p w14:paraId="0FAAE820" w14:textId="77777777" w:rsidR="0024372F" w:rsidRPr="0024372F" w:rsidRDefault="0024372F" w:rsidP="0024372F">
      <w:pPr>
        <w:spacing w:after="0" w:line="240" w:lineRule="auto"/>
        <w:jc w:val="both"/>
        <w:rPr>
          <w:rFonts w:cs="Times New Roman"/>
          <w:b/>
          <w:bCs/>
          <w:sz w:val="24"/>
          <w:szCs w:val="24"/>
        </w:rPr>
      </w:pPr>
      <w:r w:rsidRPr="0024372F">
        <w:rPr>
          <w:rFonts w:cs="Times New Roman"/>
          <w:sz w:val="24"/>
          <w:szCs w:val="24"/>
        </w:rPr>
        <w:t xml:space="preserve"> </w:t>
      </w:r>
      <w:r w:rsidRPr="0024372F">
        <w:rPr>
          <w:rFonts w:cs="Times New Roman"/>
          <w:sz w:val="24"/>
          <w:szCs w:val="24"/>
        </w:rPr>
        <w:tab/>
        <w:t xml:space="preserve">      </w:t>
      </w:r>
    </w:p>
    <w:p w14:paraId="1E0867BD" w14:textId="2D2DD8BF" w:rsidR="0024372F" w:rsidRDefault="0024372F" w:rsidP="004251DA">
      <w:pPr>
        <w:pStyle w:val="A"/>
      </w:pPr>
      <w:r w:rsidRPr="0024372F">
        <w:t>This study utilizes high-resolution SPOT-5 and SPOT-7 multispectral satellite imagery. The multi-temporal satellite photos were acquired over the Sungai Batu section of the Lembah Bujang archaeological complex in March 2006 and November 2017. The image obtained by SPOT-5 in 2006 (ARSM) shows rugged terrain. It is also reported that no archaeological excavations were conducted in the Sungai Batu region in 2006. Additionally, data collected in 2017 (SPOT-7) and 2021 (DJI P4-RTK drone) was utilized to track how the archaeological excavation phase progressed, commencing in 2007. Thus, the evolution of the Sungai Batu excavation site is depicted in Fig</w:t>
      </w:r>
      <w:r w:rsidR="00312EC0">
        <w:t>ure</w:t>
      </w:r>
      <w:r w:rsidRPr="0024372F">
        <w:t xml:space="preserve"> 2. Table 1 details SPOT-5 and SPOT-7's respective features.</w:t>
      </w:r>
    </w:p>
    <w:p w14:paraId="52E0EBFB" w14:textId="77777777" w:rsidR="00697F9D" w:rsidRPr="0024372F" w:rsidRDefault="00697F9D" w:rsidP="004251DA">
      <w:pPr>
        <w:pStyle w:val="A"/>
      </w:pPr>
    </w:p>
    <w:tbl>
      <w:tblPr>
        <w:tblW w:w="7911"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85"/>
        <w:gridCol w:w="2665"/>
        <w:gridCol w:w="2661"/>
      </w:tblGrid>
      <w:tr w:rsidR="0024372F" w:rsidRPr="0024372F" w14:paraId="613FB0FD" w14:textId="77777777" w:rsidTr="002027A9">
        <w:trPr>
          <w:trHeight w:val="261"/>
          <w:jc w:val="center"/>
        </w:trPr>
        <w:tc>
          <w:tcPr>
            <w:tcW w:w="2585" w:type="dxa"/>
          </w:tcPr>
          <w:p w14:paraId="438073FC"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sz w:val="24"/>
                <w:szCs w:val="24"/>
                <w:lang w:val="en-US"/>
              </w:rPr>
              <w:lastRenderedPageBreak/>
              <w:t>2006</w:t>
            </w:r>
          </w:p>
        </w:tc>
        <w:tc>
          <w:tcPr>
            <w:tcW w:w="2665" w:type="dxa"/>
          </w:tcPr>
          <w:p w14:paraId="31EE5879"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sz w:val="24"/>
                <w:szCs w:val="24"/>
                <w:lang w:val="en-US"/>
              </w:rPr>
              <w:t>2017</w:t>
            </w:r>
          </w:p>
        </w:tc>
        <w:tc>
          <w:tcPr>
            <w:tcW w:w="2661" w:type="dxa"/>
          </w:tcPr>
          <w:p w14:paraId="1FC4F034"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sz w:val="24"/>
                <w:szCs w:val="24"/>
                <w:lang w:val="en-US"/>
              </w:rPr>
              <w:t>2021</w:t>
            </w:r>
          </w:p>
        </w:tc>
      </w:tr>
      <w:tr w:rsidR="0024372F" w:rsidRPr="0024372F" w14:paraId="5736ED5B" w14:textId="77777777" w:rsidTr="002027A9">
        <w:trPr>
          <w:trHeight w:val="1697"/>
          <w:jc w:val="center"/>
        </w:trPr>
        <w:tc>
          <w:tcPr>
            <w:tcW w:w="2585" w:type="dxa"/>
          </w:tcPr>
          <w:p w14:paraId="6375B94B"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noProof/>
                <w:sz w:val="24"/>
                <w:szCs w:val="24"/>
                <w:lang w:val="en-US"/>
              </w:rPr>
              <w:drawing>
                <wp:inline distT="0" distB="0" distL="0" distR="0" wp14:anchorId="1D049D61" wp14:editId="5516536D">
                  <wp:extent cx="1796415" cy="1229995"/>
                  <wp:effectExtent l="9525" t="9525" r="9525" b="9525"/>
                  <wp:docPr id="241" name="image32.pn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Diagram, engineering drawing&#10;&#10;Description automatically generated"/>
                          <pic:cNvPicPr preferRelativeResize="0"/>
                        </pic:nvPicPr>
                        <pic:blipFill>
                          <a:blip r:embed="rId11"/>
                          <a:srcRect/>
                          <a:stretch>
                            <a:fillRect/>
                          </a:stretch>
                        </pic:blipFill>
                        <pic:spPr>
                          <a:xfrm>
                            <a:off x="0" y="0"/>
                            <a:ext cx="1796415" cy="1229995"/>
                          </a:xfrm>
                          <a:prstGeom prst="rect">
                            <a:avLst/>
                          </a:prstGeom>
                          <a:ln w="9525">
                            <a:solidFill>
                              <a:srgbClr val="000000"/>
                            </a:solidFill>
                            <a:prstDash val="solid"/>
                          </a:ln>
                        </pic:spPr>
                      </pic:pic>
                    </a:graphicData>
                  </a:graphic>
                </wp:inline>
              </w:drawing>
            </w:r>
            <w:r w:rsidRPr="0024372F">
              <w:rPr>
                <w:rFonts w:cs="Times New Roman"/>
                <w:noProof/>
                <w:sz w:val="24"/>
                <w:szCs w:val="24"/>
                <w:lang w:val="en-US"/>
              </w:rPr>
              <mc:AlternateContent>
                <mc:Choice Requires="wpg">
                  <w:drawing>
                    <wp:anchor distT="0" distB="0" distL="114300" distR="114300" simplePos="0" relativeHeight="251659264" behindDoc="0" locked="0" layoutInCell="1" allowOverlap="1" wp14:anchorId="548B577C" wp14:editId="00A8168E">
                      <wp:simplePos x="0" y="0"/>
                      <wp:positionH relativeFrom="column">
                        <wp:posOffset>213995</wp:posOffset>
                      </wp:positionH>
                      <wp:positionV relativeFrom="paragraph">
                        <wp:posOffset>52070</wp:posOffset>
                      </wp:positionV>
                      <wp:extent cx="1314450" cy="1149350"/>
                      <wp:effectExtent l="19050" t="19050" r="38100" b="317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1149350"/>
                                <a:chOff x="0" y="0"/>
                                <a:chExt cx="1782272" cy="1559099"/>
                              </a:xfrm>
                            </wpg:grpSpPr>
                            <wps:wsp>
                              <wps:cNvPr id="208" name="Freeform: Shape 208"/>
                              <wps:cNvSpPr/>
                              <wps:spPr>
                                <a:xfrm>
                                  <a:off x="647700" y="609600"/>
                                  <a:ext cx="235527" cy="196273"/>
                                </a:xfrm>
                                <a:custGeom>
                                  <a:avLst/>
                                  <a:gdLst>
                                    <a:gd name="connsiteX0" fmla="*/ 32327 w 235527"/>
                                    <a:gd name="connsiteY0" fmla="*/ 0 h 196273"/>
                                    <a:gd name="connsiteX1" fmla="*/ 180109 w 235527"/>
                                    <a:gd name="connsiteY1" fmla="*/ 13855 h 196273"/>
                                    <a:gd name="connsiteX2" fmla="*/ 189346 w 235527"/>
                                    <a:gd name="connsiteY2" fmla="*/ 73891 h 196273"/>
                                    <a:gd name="connsiteX3" fmla="*/ 235527 w 235527"/>
                                    <a:gd name="connsiteY3" fmla="*/ 80819 h 196273"/>
                                    <a:gd name="connsiteX4" fmla="*/ 223982 w 235527"/>
                                    <a:gd name="connsiteY4" fmla="*/ 196273 h 196273"/>
                                    <a:gd name="connsiteX5" fmla="*/ 0 w 235527"/>
                                    <a:gd name="connsiteY5" fmla="*/ 163946 h 196273"/>
                                    <a:gd name="connsiteX6" fmla="*/ 32327 w 235527"/>
                                    <a:gd name="connsiteY6" fmla="*/ 0 h 196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5527" h="196273">
                                      <a:moveTo>
                                        <a:pt x="32327" y="0"/>
                                      </a:moveTo>
                                      <a:lnTo>
                                        <a:pt x="180109" y="13855"/>
                                      </a:lnTo>
                                      <a:lnTo>
                                        <a:pt x="189346" y="73891"/>
                                      </a:lnTo>
                                      <a:lnTo>
                                        <a:pt x="235527" y="80819"/>
                                      </a:lnTo>
                                      <a:lnTo>
                                        <a:pt x="223982" y="196273"/>
                                      </a:lnTo>
                                      <a:lnTo>
                                        <a:pt x="0" y="163946"/>
                                      </a:lnTo>
                                      <a:lnTo>
                                        <a:pt x="32327"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oup 209"/>
                              <wpg:cNvGrpSpPr/>
                              <wpg:grpSpPr>
                                <a:xfrm>
                                  <a:off x="0" y="0"/>
                                  <a:ext cx="1782272" cy="1559099"/>
                                  <a:chOff x="0" y="0"/>
                                  <a:chExt cx="1782272" cy="1559099"/>
                                </a:xfrm>
                              </wpg:grpSpPr>
                              <wpg:grpSp>
                                <wpg:cNvPr id="210" name="Group 210"/>
                                <wpg:cNvGrpSpPr/>
                                <wpg:grpSpPr>
                                  <a:xfrm>
                                    <a:off x="140970" y="0"/>
                                    <a:ext cx="1450975" cy="1409006"/>
                                    <a:chOff x="0" y="0"/>
                                    <a:chExt cx="1451113" cy="1409232"/>
                                  </a:xfrm>
                                </wpg:grpSpPr>
                                <wps:wsp>
                                  <wps:cNvPr id="212" name="Freeform: Shape 212"/>
                                  <wps:cNvSpPr/>
                                  <wps:spPr>
                                    <a:xfrm>
                                      <a:off x="798444" y="1325217"/>
                                      <a:ext cx="123093" cy="84015"/>
                                    </a:xfrm>
                                    <a:custGeom>
                                      <a:avLst/>
                                      <a:gdLst>
                                        <a:gd name="connsiteX0" fmla="*/ 0 w 123093"/>
                                        <a:gd name="connsiteY0" fmla="*/ 0 h 84015"/>
                                        <a:gd name="connsiteX1" fmla="*/ 123093 w 123093"/>
                                        <a:gd name="connsiteY1" fmla="*/ 15630 h 84015"/>
                                        <a:gd name="connsiteX2" fmla="*/ 78154 w 123093"/>
                                        <a:gd name="connsiteY2" fmla="*/ 84015 h 84015"/>
                                        <a:gd name="connsiteX3" fmla="*/ 25400 w 123093"/>
                                        <a:gd name="connsiteY3" fmla="*/ 66430 h 84015"/>
                                        <a:gd name="connsiteX4" fmla="*/ 0 w 123093"/>
                                        <a:gd name="connsiteY4" fmla="*/ 0 h 84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093" h="84015">
                                          <a:moveTo>
                                            <a:pt x="0" y="0"/>
                                          </a:moveTo>
                                          <a:lnTo>
                                            <a:pt x="123093" y="15630"/>
                                          </a:lnTo>
                                          <a:lnTo>
                                            <a:pt x="78154" y="84015"/>
                                          </a:lnTo>
                                          <a:lnTo>
                                            <a:pt x="25400" y="66430"/>
                                          </a:lnTo>
                                          <a:lnTo>
                                            <a:pt x="0"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0" y="1182756"/>
                                      <a:ext cx="235857" cy="185057"/>
                                    </a:xfrm>
                                    <a:custGeom>
                                      <a:avLst/>
                                      <a:gdLst>
                                        <a:gd name="connsiteX0" fmla="*/ 0 w 235857"/>
                                        <a:gd name="connsiteY0" fmla="*/ 0 h 185057"/>
                                        <a:gd name="connsiteX1" fmla="*/ 235857 w 235857"/>
                                        <a:gd name="connsiteY1" fmla="*/ 3628 h 185057"/>
                                        <a:gd name="connsiteX2" fmla="*/ 217714 w 235857"/>
                                        <a:gd name="connsiteY2" fmla="*/ 177800 h 185057"/>
                                        <a:gd name="connsiteX3" fmla="*/ 10885 w 235857"/>
                                        <a:gd name="connsiteY3" fmla="*/ 185057 h 185057"/>
                                        <a:gd name="connsiteX4" fmla="*/ 0 w 235857"/>
                                        <a:gd name="connsiteY4" fmla="*/ 0 h 1850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857" h="185057">
                                          <a:moveTo>
                                            <a:pt x="0" y="0"/>
                                          </a:moveTo>
                                          <a:lnTo>
                                            <a:pt x="235857" y="3628"/>
                                          </a:lnTo>
                                          <a:lnTo>
                                            <a:pt x="217714" y="177800"/>
                                          </a:lnTo>
                                          <a:lnTo>
                                            <a:pt x="10885" y="185057"/>
                                          </a:lnTo>
                                          <a:lnTo>
                                            <a:pt x="0"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reeform: Shape 216"/>
                                  <wps:cNvSpPr/>
                                  <wps:spPr>
                                    <a:xfrm>
                                      <a:off x="1235765" y="0"/>
                                      <a:ext cx="215348" cy="151130"/>
                                    </a:xfrm>
                                    <a:custGeom>
                                      <a:avLst/>
                                      <a:gdLst>
                                        <a:gd name="connsiteX0" fmla="*/ 19878 w 215348"/>
                                        <a:gd name="connsiteY0" fmla="*/ 3313 h 132522"/>
                                        <a:gd name="connsiteX1" fmla="*/ 215348 w 215348"/>
                                        <a:gd name="connsiteY1" fmla="*/ 0 h 132522"/>
                                        <a:gd name="connsiteX2" fmla="*/ 205408 w 215348"/>
                                        <a:gd name="connsiteY2" fmla="*/ 132522 h 132522"/>
                                        <a:gd name="connsiteX3" fmla="*/ 0 w 215348"/>
                                        <a:gd name="connsiteY3" fmla="*/ 129209 h 132522"/>
                                        <a:gd name="connsiteX4" fmla="*/ 19878 w 215348"/>
                                        <a:gd name="connsiteY4" fmla="*/ 3313 h 1325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5348" h="132522">
                                          <a:moveTo>
                                            <a:pt x="19878" y="3313"/>
                                          </a:moveTo>
                                          <a:lnTo>
                                            <a:pt x="215348" y="0"/>
                                          </a:lnTo>
                                          <a:lnTo>
                                            <a:pt x="205408" y="132522"/>
                                          </a:lnTo>
                                          <a:lnTo>
                                            <a:pt x="0" y="129209"/>
                                          </a:lnTo>
                                          <a:lnTo>
                                            <a:pt x="19878" y="3313"/>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Freeform: Shape 217"/>
                                <wps:cNvSpPr/>
                                <wps:spPr>
                                  <a:xfrm>
                                    <a:off x="1451610" y="742950"/>
                                    <a:ext cx="325821" cy="231228"/>
                                  </a:xfrm>
                                  <a:custGeom>
                                    <a:avLst/>
                                    <a:gdLst>
                                      <a:gd name="connsiteX0" fmla="*/ 0 w 325821"/>
                                      <a:gd name="connsiteY0" fmla="*/ 7883 h 231228"/>
                                      <a:gd name="connsiteX1" fmla="*/ 228600 w 325821"/>
                                      <a:gd name="connsiteY1" fmla="*/ 0 h 231228"/>
                                      <a:gd name="connsiteX2" fmla="*/ 228600 w 325821"/>
                                      <a:gd name="connsiteY2" fmla="*/ 131379 h 231228"/>
                                      <a:gd name="connsiteX3" fmla="*/ 325821 w 325821"/>
                                      <a:gd name="connsiteY3" fmla="*/ 144517 h 231228"/>
                                      <a:gd name="connsiteX4" fmla="*/ 310055 w 325821"/>
                                      <a:gd name="connsiteY4" fmla="*/ 231228 h 231228"/>
                                      <a:gd name="connsiteX5" fmla="*/ 202324 w 325821"/>
                                      <a:gd name="connsiteY5" fmla="*/ 215462 h 231228"/>
                                      <a:gd name="connsiteX6" fmla="*/ 202324 w 325821"/>
                                      <a:gd name="connsiteY6" fmla="*/ 165538 h 231228"/>
                                      <a:gd name="connsiteX7" fmla="*/ 2628 w 325821"/>
                                      <a:gd name="connsiteY7" fmla="*/ 181303 h 231228"/>
                                      <a:gd name="connsiteX8" fmla="*/ 0 w 325821"/>
                                      <a:gd name="connsiteY8" fmla="*/ 7883 h 231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5821" h="231228">
                                        <a:moveTo>
                                          <a:pt x="0" y="7883"/>
                                        </a:moveTo>
                                        <a:lnTo>
                                          <a:pt x="228600" y="0"/>
                                        </a:lnTo>
                                        <a:lnTo>
                                          <a:pt x="228600" y="131379"/>
                                        </a:lnTo>
                                        <a:lnTo>
                                          <a:pt x="325821" y="144517"/>
                                        </a:lnTo>
                                        <a:lnTo>
                                          <a:pt x="310055" y="231228"/>
                                        </a:lnTo>
                                        <a:lnTo>
                                          <a:pt x="202324" y="215462"/>
                                        </a:lnTo>
                                        <a:lnTo>
                                          <a:pt x="202324" y="165538"/>
                                        </a:lnTo>
                                        <a:lnTo>
                                          <a:pt x="2628" y="181303"/>
                                        </a:lnTo>
                                        <a:lnTo>
                                          <a:pt x="0" y="7883"/>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Freeform: Shape 220"/>
                                <wps:cNvSpPr/>
                                <wps:spPr>
                                  <a:xfrm>
                                    <a:off x="1234440" y="742950"/>
                                    <a:ext cx="180109" cy="166255"/>
                                  </a:xfrm>
                                  <a:custGeom>
                                    <a:avLst/>
                                    <a:gdLst>
                                      <a:gd name="connsiteX0" fmla="*/ 83128 w 180109"/>
                                      <a:gd name="connsiteY0" fmla="*/ 0 h 166255"/>
                                      <a:gd name="connsiteX1" fmla="*/ 177800 w 180109"/>
                                      <a:gd name="connsiteY1" fmla="*/ 4619 h 166255"/>
                                      <a:gd name="connsiteX2" fmla="*/ 180109 w 180109"/>
                                      <a:gd name="connsiteY2" fmla="*/ 101600 h 166255"/>
                                      <a:gd name="connsiteX3" fmla="*/ 108528 w 180109"/>
                                      <a:gd name="connsiteY3" fmla="*/ 103910 h 166255"/>
                                      <a:gd name="connsiteX4" fmla="*/ 117764 w 180109"/>
                                      <a:gd name="connsiteY4" fmla="*/ 166255 h 166255"/>
                                      <a:gd name="connsiteX5" fmla="*/ 0 w 180109"/>
                                      <a:gd name="connsiteY5" fmla="*/ 157019 h 166255"/>
                                      <a:gd name="connsiteX6" fmla="*/ 0 w 180109"/>
                                      <a:gd name="connsiteY6" fmla="*/ 92364 h 166255"/>
                                      <a:gd name="connsiteX7" fmla="*/ 78509 w 180109"/>
                                      <a:gd name="connsiteY7" fmla="*/ 99291 h 166255"/>
                                      <a:gd name="connsiteX8" fmla="*/ 83128 w 180109"/>
                                      <a:gd name="connsiteY8" fmla="*/ 0 h 166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109" h="166255">
                                        <a:moveTo>
                                          <a:pt x="83128" y="0"/>
                                        </a:moveTo>
                                        <a:lnTo>
                                          <a:pt x="177800" y="4619"/>
                                        </a:lnTo>
                                        <a:cubicBezTo>
                                          <a:pt x="178570" y="36946"/>
                                          <a:pt x="179339" y="69273"/>
                                          <a:pt x="180109" y="101600"/>
                                        </a:cubicBezTo>
                                        <a:lnTo>
                                          <a:pt x="108528" y="103910"/>
                                        </a:lnTo>
                                        <a:lnTo>
                                          <a:pt x="117764" y="166255"/>
                                        </a:lnTo>
                                        <a:lnTo>
                                          <a:pt x="0" y="157019"/>
                                        </a:lnTo>
                                        <a:lnTo>
                                          <a:pt x="0" y="92364"/>
                                        </a:lnTo>
                                        <a:lnTo>
                                          <a:pt x="78509" y="99291"/>
                                        </a:lnTo>
                                        <a:lnTo>
                                          <a:pt x="83128"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Freeform: Shape 223"/>
                                <wps:cNvSpPr/>
                                <wps:spPr>
                                  <a:xfrm>
                                    <a:off x="1634490" y="1219200"/>
                                    <a:ext cx="147782" cy="120073"/>
                                  </a:xfrm>
                                  <a:custGeom>
                                    <a:avLst/>
                                    <a:gdLst>
                                      <a:gd name="connsiteX0" fmla="*/ 0 w 147782"/>
                                      <a:gd name="connsiteY0" fmla="*/ 0 h 120073"/>
                                      <a:gd name="connsiteX1" fmla="*/ 147782 w 147782"/>
                                      <a:gd name="connsiteY1" fmla="*/ 4618 h 120073"/>
                                      <a:gd name="connsiteX2" fmla="*/ 138546 w 147782"/>
                                      <a:gd name="connsiteY2" fmla="*/ 113146 h 120073"/>
                                      <a:gd name="connsiteX3" fmla="*/ 6927 w 147782"/>
                                      <a:gd name="connsiteY3" fmla="*/ 120073 h 120073"/>
                                      <a:gd name="connsiteX4" fmla="*/ 0 w 147782"/>
                                      <a:gd name="connsiteY4" fmla="*/ 0 h 120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782" h="120073">
                                        <a:moveTo>
                                          <a:pt x="0" y="0"/>
                                        </a:moveTo>
                                        <a:lnTo>
                                          <a:pt x="147782" y="4618"/>
                                        </a:lnTo>
                                        <a:lnTo>
                                          <a:pt x="138546" y="113146"/>
                                        </a:lnTo>
                                        <a:lnTo>
                                          <a:pt x="6927" y="120073"/>
                                        </a:lnTo>
                                        <a:lnTo>
                                          <a:pt x="0"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Freeform: Shape 224"/>
                                <wps:cNvSpPr/>
                                <wps:spPr>
                                  <a:xfrm>
                                    <a:off x="1127760" y="1177290"/>
                                    <a:ext cx="159328" cy="140854"/>
                                  </a:xfrm>
                                  <a:custGeom>
                                    <a:avLst/>
                                    <a:gdLst>
                                      <a:gd name="connsiteX0" fmla="*/ 0 w 159328"/>
                                      <a:gd name="connsiteY0" fmla="*/ 0 h 140854"/>
                                      <a:gd name="connsiteX1" fmla="*/ 150091 w 159328"/>
                                      <a:gd name="connsiteY1" fmla="*/ 0 h 140854"/>
                                      <a:gd name="connsiteX2" fmla="*/ 159328 w 159328"/>
                                      <a:gd name="connsiteY2" fmla="*/ 138545 h 140854"/>
                                      <a:gd name="connsiteX3" fmla="*/ 16164 w 159328"/>
                                      <a:gd name="connsiteY3" fmla="*/ 140854 h 140854"/>
                                      <a:gd name="connsiteX4" fmla="*/ 0 w 159328"/>
                                      <a:gd name="connsiteY4" fmla="*/ 0 h 1408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328" h="140854">
                                        <a:moveTo>
                                          <a:pt x="0" y="0"/>
                                        </a:moveTo>
                                        <a:lnTo>
                                          <a:pt x="150091" y="0"/>
                                        </a:lnTo>
                                        <a:lnTo>
                                          <a:pt x="159328" y="138545"/>
                                        </a:lnTo>
                                        <a:lnTo>
                                          <a:pt x="16164" y="140854"/>
                                        </a:lnTo>
                                        <a:lnTo>
                                          <a:pt x="0"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reeform: Shape 225"/>
                                <wps:cNvSpPr/>
                                <wps:spPr>
                                  <a:xfrm>
                                    <a:off x="1040130" y="1402080"/>
                                    <a:ext cx="360218" cy="157019"/>
                                  </a:xfrm>
                                  <a:custGeom>
                                    <a:avLst/>
                                    <a:gdLst>
                                      <a:gd name="connsiteX0" fmla="*/ 18472 w 360218"/>
                                      <a:gd name="connsiteY0" fmla="*/ 0 h 157019"/>
                                      <a:gd name="connsiteX1" fmla="*/ 360218 w 360218"/>
                                      <a:gd name="connsiteY1" fmla="*/ 13855 h 157019"/>
                                      <a:gd name="connsiteX2" fmla="*/ 357909 w 360218"/>
                                      <a:gd name="connsiteY2" fmla="*/ 101600 h 157019"/>
                                      <a:gd name="connsiteX3" fmla="*/ 244763 w 360218"/>
                                      <a:gd name="connsiteY3" fmla="*/ 103909 h 157019"/>
                                      <a:gd name="connsiteX4" fmla="*/ 249382 w 360218"/>
                                      <a:gd name="connsiteY4" fmla="*/ 152400 h 157019"/>
                                      <a:gd name="connsiteX5" fmla="*/ 0 w 360218"/>
                                      <a:gd name="connsiteY5" fmla="*/ 157019 h 157019"/>
                                      <a:gd name="connsiteX6" fmla="*/ 18472 w 360218"/>
                                      <a:gd name="connsiteY6" fmla="*/ 0 h 157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0218" h="157019">
                                        <a:moveTo>
                                          <a:pt x="18472" y="0"/>
                                        </a:moveTo>
                                        <a:lnTo>
                                          <a:pt x="360218" y="13855"/>
                                        </a:lnTo>
                                        <a:cubicBezTo>
                                          <a:pt x="359448" y="43103"/>
                                          <a:pt x="358679" y="72352"/>
                                          <a:pt x="357909" y="101600"/>
                                        </a:cubicBezTo>
                                        <a:lnTo>
                                          <a:pt x="244763" y="103909"/>
                                        </a:lnTo>
                                        <a:lnTo>
                                          <a:pt x="249382" y="152400"/>
                                        </a:lnTo>
                                        <a:lnTo>
                                          <a:pt x="0" y="157019"/>
                                        </a:lnTo>
                                        <a:lnTo>
                                          <a:pt x="18472"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reeform: Shape 226"/>
                                <wps:cNvSpPr/>
                                <wps:spPr>
                                  <a:xfrm>
                                    <a:off x="735330" y="1116330"/>
                                    <a:ext cx="237836" cy="228600"/>
                                  </a:xfrm>
                                  <a:custGeom>
                                    <a:avLst/>
                                    <a:gdLst>
                                      <a:gd name="connsiteX0" fmla="*/ 0 w 237836"/>
                                      <a:gd name="connsiteY0" fmla="*/ 143164 h 228600"/>
                                      <a:gd name="connsiteX1" fmla="*/ 145472 w 237836"/>
                                      <a:gd name="connsiteY1" fmla="*/ 0 h 228600"/>
                                      <a:gd name="connsiteX2" fmla="*/ 237836 w 237836"/>
                                      <a:gd name="connsiteY2" fmla="*/ 83127 h 228600"/>
                                      <a:gd name="connsiteX3" fmla="*/ 106218 w 237836"/>
                                      <a:gd name="connsiteY3" fmla="*/ 228600 h 228600"/>
                                      <a:gd name="connsiteX4" fmla="*/ 0 w 237836"/>
                                      <a:gd name="connsiteY4" fmla="*/ 143164 h 22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836" h="228600">
                                        <a:moveTo>
                                          <a:pt x="0" y="143164"/>
                                        </a:moveTo>
                                        <a:lnTo>
                                          <a:pt x="145472" y="0"/>
                                        </a:lnTo>
                                        <a:lnTo>
                                          <a:pt x="237836" y="83127"/>
                                        </a:lnTo>
                                        <a:lnTo>
                                          <a:pt x="106218" y="228600"/>
                                        </a:lnTo>
                                        <a:lnTo>
                                          <a:pt x="0" y="143164"/>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Freeform: Shape 227"/>
                                <wps:cNvSpPr/>
                                <wps:spPr>
                                  <a:xfrm>
                                    <a:off x="0" y="1299210"/>
                                    <a:ext cx="113145" cy="106219"/>
                                  </a:xfrm>
                                  <a:custGeom>
                                    <a:avLst/>
                                    <a:gdLst>
                                      <a:gd name="connsiteX0" fmla="*/ 16163 w 113145"/>
                                      <a:gd name="connsiteY0" fmla="*/ 0 h 106219"/>
                                      <a:gd name="connsiteX1" fmla="*/ 101600 w 113145"/>
                                      <a:gd name="connsiteY1" fmla="*/ 0 h 106219"/>
                                      <a:gd name="connsiteX2" fmla="*/ 113145 w 113145"/>
                                      <a:gd name="connsiteY2" fmla="*/ 106219 h 106219"/>
                                      <a:gd name="connsiteX3" fmla="*/ 0 w 113145"/>
                                      <a:gd name="connsiteY3" fmla="*/ 101600 h 106219"/>
                                      <a:gd name="connsiteX4" fmla="*/ 16163 w 113145"/>
                                      <a:gd name="connsiteY4" fmla="*/ 0 h 106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45" h="106219">
                                        <a:moveTo>
                                          <a:pt x="16163" y="0"/>
                                        </a:moveTo>
                                        <a:lnTo>
                                          <a:pt x="101600" y="0"/>
                                        </a:lnTo>
                                        <a:lnTo>
                                          <a:pt x="113145" y="106219"/>
                                        </a:lnTo>
                                        <a:lnTo>
                                          <a:pt x="0" y="101600"/>
                                        </a:lnTo>
                                        <a:lnTo>
                                          <a:pt x="16163"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Freeform: Shape 228"/>
                                <wps:cNvSpPr/>
                                <wps:spPr>
                                  <a:xfrm>
                                    <a:off x="99060" y="986790"/>
                                    <a:ext cx="127000" cy="85436"/>
                                  </a:xfrm>
                                  <a:custGeom>
                                    <a:avLst/>
                                    <a:gdLst>
                                      <a:gd name="connsiteX0" fmla="*/ 0 w 127000"/>
                                      <a:gd name="connsiteY0" fmla="*/ 0 h 85436"/>
                                      <a:gd name="connsiteX1" fmla="*/ 127000 w 127000"/>
                                      <a:gd name="connsiteY1" fmla="*/ 0 h 85436"/>
                                      <a:gd name="connsiteX2" fmla="*/ 120072 w 127000"/>
                                      <a:gd name="connsiteY2" fmla="*/ 85436 h 85436"/>
                                      <a:gd name="connsiteX3" fmla="*/ 6927 w 127000"/>
                                      <a:gd name="connsiteY3" fmla="*/ 85436 h 85436"/>
                                      <a:gd name="connsiteX4" fmla="*/ 0 w 127000"/>
                                      <a:gd name="connsiteY4" fmla="*/ 0 h 85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00" h="85436">
                                        <a:moveTo>
                                          <a:pt x="0" y="0"/>
                                        </a:moveTo>
                                        <a:lnTo>
                                          <a:pt x="127000" y="0"/>
                                        </a:lnTo>
                                        <a:lnTo>
                                          <a:pt x="120072" y="85436"/>
                                        </a:lnTo>
                                        <a:lnTo>
                                          <a:pt x="6927" y="85436"/>
                                        </a:lnTo>
                                        <a:lnTo>
                                          <a:pt x="0"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Freeform: Shape 229"/>
                                <wps:cNvSpPr/>
                                <wps:spPr>
                                  <a:xfrm>
                                    <a:off x="590550" y="1047750"/>
                                    <a:ext cx="94673" cy="145473"/>
                                  </a:xfrm>
                                  <a:custGeom>
                                    <a:avLst/>
                                    <a:gdLst>
                                      <a:gd name="connsiteX0" fmla="*/ 4618 w 94673"/>
                                      <a:gd name="connsiteY0" fmla="*/ 0 h 145473"/>
                                      <a:gd name="connsiteX1" fmla="*/ 94673 w 94673"/>
                                      <a:gd name="connsiteY1" fmla="*/ 18473 h 145473"/>
                                      <a:gd name="connsiteX2" fmla="*/ 90055 w 94673"/>
                                      <a:gd name="connsiteY2" fmla="*/ 145473 h 145473"/>
                                      <a:gd name="connsiteX3" fmla="*/ 0 w 94673"/>
                                      <a:gd name="connsiteY3" fmla="*/ 133928 h 145473"/>
                                      <a:gd name="connsiteX4" fmla="*/ 4618 w 94673"/>
                                      <a:gd name="connsiteY4" fmla="*/ 0 h 1454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673" h="145473">
                                        <a:moveTo>
                                          <a:pt x="4618" y="0"/>
                                        </a:moveTo>
                                        <a:lnTo>
                                          <a:pt x="94673" y="18473"/>
                                        </a:lnTo>
                                        <a:lnTo>
                                          <a:pt x="90055" y="145473"/>
                                        </a:lnTo>
                                        <a:lnTo>
                                          <a:pt x="0" y="133928"/>
                                        </a:lnTo>
                                        <a:lnTo>
                                          <a:pt x="4618"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reeform: Shape 230"/>
                                <wps:cNvSpPr/>
                                <wps:spPr>
                                  <a:xfrm>
                                    <a:off x="209550" y="1009650"/>
                                    <a:ext cx="339436" cy="260927"/>
                                  </a:xfrm>
                                  <a:custGeom>
                                    <a:avLst/>
                                    <a:gdLst>
                                      <a:gd name="connsiteX0" fmla="*/ 92364 w 339436"/>
                                      <a:gd name="connsiteY0" fmla="*/ 0 h 260927"/>
                                      <a:gd name="connsiteX1" fmla="*/ 244764 w 339436"/>
                                      <a:gd name="connsiteY1" fmla="*/ 13854 h 260927"/>
                                      <a:gd name="connsiteX2" fmla="*/ 240145 w 339436"/>
                                      <a:gd name="connsiteY2" fmla="*/ 117764 h 260927"/>
                                      <a:gd name="connsiteX3" fmla="*/ 325582 w 339436"/>
                                      <a:gd name="connsiteY3" fmla="*/ 120073 h 260927"/>
                                      <a:gd name="connsiteX4" fmla="*/ 339436 w 339436"/>
                                      <a:gd name="connsiteY4" fmla="*/ 260927 h 260927"/>
                                      <a:gd name="connsiteX5" fmla="*/ 217055 w 339436"/>
                                      <a:gd name="connsiteY5" fmla="*/ 254000 h 260927"/>
                                      <a:gd name="connsiteX6" fmla="*/ 228600 w 339436"/>
                                      <a:gd name="connsiteY6" fmla="*/ 145473 h 260927"/>
                                      <a:gd name="connsiteX7" fmla="*/ 4618 w 339436"/>
                                      <a:gd name="connsiteY7" fmla="*/ 147782 h 260927"/>
                                      <a:gd name="connsiteX8" fmla="*/ 0 w 339436"/>
                                      <a:gd name="connsiteY8" fmla="*/ 85436 h 260927"/>
                                      <a:gd name="connsiteX9" fmla="*/ 85436 w 339436"/>
                                      <a:gd name="connsiteY9" fmla="*/ 96982 h 260927"/>
                                      <a:gd name="connsiteX10" fmla="*/ 92364 w 339436"/>
                                      <a:gd name="connsiteY10" fmla="*/ 0 h 260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39436" h="260927">
                                        <a:moveTo>
                                          <a:pt x="92364" y="0"/>
                                        </a:moveTo>
                                        <a:lnTo>
                                          <a:pt x="244764" y="13854"/>
                                        </a:lnTo>
                                        <a:lnTo>
                                          <a:pt x="240145" y="117764"/>
                                        </a:lnTo>
                                        <a:lnTo>
                                          <a:pt x="325582" y="120073"/>
                                        </a:lnTo>
                                        <a:lnTo>
                                          <a:pt x="339436" y="260927"/>
                                        </a:lnTo>
                                        <a:lnTo>
                                          <a:pt x="217055" y="254000"/>
                                        </a:lnTo>
                                        <a:lnTo>
                                          <a:pt x="228600" y="145473"/>
                                        </a:lnTo>
                                        <a:lnTo>
                                          <a:pt x="4618" y="147782"/>
                                        </a:lnTo>
                                        <a:lnTo>
                                          <a:pt x="0" y="85436"/>
                                        </a:lnTo>
                                        <a:lnTo>
                                          <a:pt x="85436" y="96982"/>
                                        </a:lnTo>
                                        <a:lnTo>
                                          <a:pt x="92364"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Freeform: Shape 231"/>
                                <wps:cNvSpPr/>
                                <wps:spPr>
                                  <a:xfrm>
                                    <a:off x="118110" y="514350"/>
                                    <a:ext cx="180110" cy="193964"/>
                                  </a:xfrm>
                                  <a:custGeom>
                                    <a:avLst/>
                                    <a:gdLst>
                                      <a:gd name="connsiteX0" fmla="*/ 23091 w 180110"/>
                                      <a:gd name="connsiteY0" fmla="*/ 0 h 193964"/>
                                      <a:gd name="connsiteX1" fmla="*/ 168564 w 180110"/>
                                      <a:gd name="connsiteY1" fmla="*/ 4619 h 193964"/>
                                      <a:gd name="connsiteX2" fmla="*/ 180110 w 180110"/>
                                      <a:gd name="connsiteY2" fmla="*/ 193964 h 193964"/>
                                      <a:gd name="connsiteX3" fmla="*/ 0 w 180110"/>
                                      <a:gd name="connsiteY3" fmla="*/ 157019 h 193964"/>
                                      <a:gd name="connsiteX4" fmla="*/ 23091 w 180110"/>
                                      <a:gd name="connsiteY4" fmla="*/ 0 h 1939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110" h="193964">
                                        <a:moveTo>
                                          <a:pt x="23091" y="0"/>
                                        </a:moveTo>
                                        <a:lnTo>
                                          <a:pt x="168564" y="4619"/>
                                        </a:lnTo>
                                        <a:lnTo>
                                          <a:pt x="180110" y="193964"/>
                                        </a:lnTo>
                                        <a:lnTo>
                                          <a:pt x="0" y="157019"/>
                                        </a:lnTo>
                                        <a:lnTo>
                                          <a:pt x="23091"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342900" y="396240"/>
                                    <a:ext cx="302491" cy="397163"/>
                                  </a:xfrm>
                                  <a:custGeom>
                                    <a:avLst/>
                                    <a:gdLst>
                                      <a:gd name="connsiteX0" fmla="*/ 0 w 302491"/>
                                      <a:gd name="connsiteY0" fmla="*/ 0 h 397163"/>
                                      <a:gd name="connsiteX1" fmla="*/ 140855 w 302491"/>
                                      <a:gd name="connsiteY1" fmla="*/ 0 h 397163"/>
                                      <a:gd name="connsiteX2" fmla="*/ 131619 w 302491"/>
                                      <a:gd name="connsiteY2" fmla="*/ 173182 h 397163"/>
                                      <a:gd name="connsiteX3" fmla="*/ 300182 w 302491"/>
                                      <a:gd name="connsiteY3" fmla="*/ 170873 h 397163"/>
                                      <a:gd name="connsiteX4" fmla="*/ 302491 w 302491"/>
                                      <a:gd name="connsiteY4" fmla="*/ 279400 h 397163"/>
                                      <a:gd name="connsiteX5" fmla="*/ 240146 w 302491"/>
                                      <a:gd name="connsiteY5" fmla="*/ 293254 h 397163"/>
                                      <a:gd name="connsiteX6" fmla="*/ 235528 w 302491"/>
                                      <a:gd name="connsiteY6" fmla="*/ 397163 h 397163"/>
                                      <a:gd name="connsiteX7" fmla="*/ 129309 w 302491"/>
                                      <a:gd name="connsiteY7" fmla="*/ 378691 h 397163"/>
                                      <a:gd name="connsiteX8" fmla="*/ 127000 w 302491"/>
                                      <a:gd name="connsiteY8" fmla="*/ 281709 h 397163"/>
                                      <a:gd name="connsiteX9" fmla="*/ 92364 w 302491"/>
                                      <a:gd name="connsiteY9" fmla="*/ 279400 h 397163"/>
                                      <a:gd name="connsiteX10" fmla="*/ 99291 w 302491"/>
                                      <a:gd name="connsiteY10" fmla="*/ 323273 h 397163"/>
                                      <a:gd name="connsiteX11" fmla="*/ 4619 w 302491"/>
                                      <a:gd name="connsiteY11" fmla="*/ 320963 h 397163"/>
                                      <a:gd name="connsiteX12" fmla="*/ 0 w 302491"/>
                                      <a:gd name="connsiteY12" fmla="*/ 0 h 397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491" h="397163">
                                        <a:moveTo>
                                          <a:pt x="0" y="0"/>
                                        </a:moveTo>
                                        <a:lnTo>
                                          <a:pt x="140855" y="0"/>
                                        </a:lnTo>
                                        <a:lnTo>
                                          <a:pt x="131619" y="173182"/>
                                        </a:lnTo>
                                        <a:lnTo>
                                          <a:pt x="300182" y="170873"/>
                                        </a:lnTo>
                                        <a:cubicBezTo>
                                          <a:pt x="300952" y="207049"/>
                                          <a:pt x="301721" y="243224"/>
                                          <a:pt x="302491" y="279400"/>
                                        </a:cubicBezTo>
                                        <a:lnTo>
                                          <a:pt x="240146" y="293254"/>
                                        </a:lnTo>
                                        <a:lnTo>
                                          <a:pt x="235528" y="397163"/>
                                        </a:lnTo>
                                        <a:lnTo>
                                          <a:pt x="129309" y="378691"/>
                                        </a:lnTo>
                                        <a:cubicBezTo>
                                          <a:pt x="128539" y="346364"/>
                                          <a:pt x="127770" y="314036"/>
                                          <a:pt x="127000" y="281709"/>
                                        </a:cubicBezTo>
                                        <a:lnTo>
                                          <a:pt x="92364" y="279400"/>
                                        </a:lnTo>
                                        <a:lnTo>
                                          <a:pt x="99291" y="323273"/>
                                        </a:lnTo>
                                        <a:lnTo>
                                          <a:pt x="4619" y="320963"/>
                                        </a:lnTo>
                                        <a:cubicBezTo>
                                          <a:pt x="3079" y="213975"/>
                                          <a:pt x="1540" y="106988"/>
                                          <a:pt x="0" y="0"/>
                                        </a:cubicBez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Freeform: Shape 233"/>
                                <wps:cNvSpPr/>
                                <wps:spPr>
                                  <a:xfrm>
                                    <a:off x="617220" y="373380"/>
                                    <a:ext cx="364836" cy="205509"/>
                                  </a:xfrm>
                                  <a:custGeom>
                                    <a:avLst/>
                                    <a:gdLst>
                                      <a:gd name="connsiteX0" fmla="*/ 6927 w 364836"/>
                                      <a:gd name="connsiteY0" fmla="*/ 0 h 205509"/>
                                      <a:gd name="connsiteX1" fmla="*/ 101600 w 364836"/>
                                      <a:gd name="connsiteY1" fmla="*/ 9236 h 205509"/>
                                      <a:gd name="connsiteX2" fmla="*/ 108527 w 364836"/>
                                      <a:gd name="connsiteY2" fmla="*/ 80818 h 205509"/>
                                      <a:gd name="connsiteX3" fmla="*/ 360218 w 364836"/>
                                      <a:gd name="connsiteY3" fmla="*/ 83127 h 205509"/>
                                      <a:gd name="connsiteX4" fmla="*/ 364836 w 364836"/>
                                      <a:gd name="connsiteY4" fmla="*/ 205509 h 205509"/>
                                      <a:gd name="connsiteX5" fmla="*/ 87746 w 364836"/>
                                      <a:gd name="connsiteY5" fmla="*/ 203200 h 205509"/>
                                      <a:gd name="connsiteX6" fmla="*/ 87746 w 364836"/>
                                      <a:gd name="connsiteY6" fmla="*/ 113145 h 205509"/>
                                      <a:gd name="connsiteX7" fmla="*/ 0 w 364836"/>
                                      <a:gd name="connsiteY7" fmla="*/ 108527 h 205509"/>
                                      <a:gd name="connsiteX8" fmla="*/ 6927 w 364836"/>
                                      <a:gd name="connsiteY8" fmla="*/ 0 h 205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4836" h="205509">
                                        <a:moveTo>
                                          <a:pt x="6927" y="0"/>
                                        </a:moveTo>
                                        <a:lnTo>
                                          <a:pt x="101600" y="9236"/>
                                        </a:lnTo>
                                        <a:lnTo>
                                          <a:pt x="108527" y="80818"/>
                                        </a:lnTo>
                                        <a:lnTo>
                                          <a:pt x="360218" y="83127"/>
                                        </a:lnTo>
                                        <a:lnTo>
                                          <a:pt x="364836" y="205509"/>
                                        </a:lnTo>
                                        <a:lnTo>
                                          <a:pt x="87746" y="203200"/>
                                        </a:lnTo>
                                        <a:lnTo>
                                          <a:pt x="87746" y="113145"/>
                                        </a:lnTo>
                                        <a:lnTo>
                                          <a:pt x="0" y="108527"/>
                                        </a:lnTo>
                                        <a:lnTo>
                                          <a:pt x="6927"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Freeform: Shape 234"/>
                                <wps:cNvSpPr/>
                                <wps:spPr>
                                  <a:xfrm>
                                    <a:off x="822960" y="274320"/>
                                    <a:ext cx="127000" cy="108527"/>
                                  </a:xfrm>
                                  <a:custGeom>
                                    <a:avLst/>
                                    <a:gdLst>
                                      <a:gd name="connsiteX0" fmla="*/ 0 w 127000"/>
                                      <a:gd name="connsiteY0" fmla="*/ 0 h 108527"/>
                                      <a:gd name="connsiteX1" fmla="*/ 117764 w 127000"/>
                                      <a:gd name="connsiteY1" fmla="*/ 4618 h 108527"/>
                                      <a:gd name="connsiteX2" fmla="*/ 127000 w 127000"/>
                                      <a:gd name="connsiteY2" fmla="*/ 106218 h 108527"/>
                                      <a:gd name="connsiteX3" fmla="*/ 6928 w 127000"/>
                                      <a:gd name="connsiteY3" fmla="*/ 108527 h 108527"/>
                                      <a:gd name="connsiteX4" fmla="*/ 0 w 127000"/>
                                      <a:gd name="connsiteY4" fmla="*/ 0 h 108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00" h="108527">
                                        <a:moveTo>
                                          <a:pt x="0" y="0"/>
                                        </a:moveTo>
                                        <a:lnTo>
                                          <a:pt x="117764" y="4618"/>
                                        </a:lnTo>
                                        <a:lnTo>
                                          <a:pt x="127000" y="106218"/>
                                        </a:lnTo>
                                        <a:lnTo>
                                          <a:pt x="6928" y="108527"/>
                                        </a:lnTo>
                                        <a:lnTo>
                                          <a:pt x="0"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a:off x="502920" y="186690"/>
                                    <a:ext cx="117763" cy="80818"/>
                                  </a:xfrm>
                                  <a:custGeom>
                                    <a:avLst/>
                                    <a:gdLst>
                                      <a:gd name="connsiteX0" fmla="*/ 41563 w 117763"/>
                                      <a:gd name="connsiteY0" fmla="*/ 0 h 80818"/>
                                      <a:gd name="connsiteX1" fmla="*/ 117763 w 117763"/>
                                      <a:gd name="connsiteY1" fmla="*/ 30018 h 80818"/>
                                      <a:gd name="connsiteX2" fmla="*/ 92363 w 117763"/>
                                      <a:gd name="connsiteY2" fmla="*/ 80818 h 80818"/>
                                      <a:gd name="connsiteX3" fmla="*/ 0 w 117763"/>
                                      <a:gd name="connsiteY3" fmla="*/ 41563 h 80818"/>
                                      <a:gd name="connsiteX4" fmla="*/ 41563 w 117763"/>
                                      <a:gd name="connsiteY4" fmla="*/ 0 h 80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63" h="80818">
                                        <a:moveTo>
                                          <a:pt x="41563" y="0"/>
                                        </a:moveTo>
                                        <a:lnTo>
                                          <a:pt x="117763" y="30018"/>
                                        </a:lnTo>
                                        <a:lnTo>
                                          <a:pt x="92363" y="80818"/>
                                        </a:lnTo>
                                        <a:lnTo>
                                          <a:pt x="0" y="41563"/>
                                        </a:lnTo>
                                        <a:lnTo>
                                          <a:pt x="41563"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026C563" id="Group 9" o:spid="_x0000_s1026" style="position:absolute;margin-left:16.85pt;margin-top:4.1pt;width:103.5pt;height:90.5pt;z-index:251659264" coordsize="17822,1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">
                      <v:shape id="Freeform: Shape 208" o:spid="_x0000_s1027" style="position:absolute;left:6477;top:6096;width:2355;height:1962;visibility:visible;mso-wrap-style:square;v-text-anchor:middle" coordsize="235527,19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" path="m32327,l180109,13855r9237,60036l235527,80819,223982,196273,,163946,32327,xe" fillcolor="#b4c7e7" strokecolor="red" strokeweight="1pt">
                        <v:stroke dashstyle="3 1" joinstyle="miter"/>
                        <v:path arrowok="t" o:connecttype="custom" o:connectlocs="32327,0;180109,13855;189346,73891;235527,80819;223982,196273;0,163946;32327,0" o:connectangles="0,0,0,0,0,0,0"/>
                      </v:shape>
                      <v:group id="Group 209" o:spid="_x0000_s1028" style="position:absolute;width:17822;height:15590" coordsize="17822,1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Group 210" o:spid="_x0000_s1029" style="position:absolute;left:1409;width:14510;height:14090" coordsize="14511,1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2" o:spid="_x0000_s1030" style="position:absolute;left:7984;top:13252;width:1231;height:840;visibility:visible;mso-wrap-style:square;v-text-anchor:middle" coordsize="123093,8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" path="m,l123093,15630,78154,84015,25400,66430,,xe" fillcolor="#b4c7e7" strokecolor="red" strokeweight="1pt">
                            <v:stroke dashstyle="3 1" joinstyle="miter"/>
                            <v:path arrowok="t" o:connecttype="custom" o:connectlocs="0,0;123093,15630;78154,84015;25400,66430;0,0" o:connectangles="0,0,0,0,0"/>
                          </v:shape>
                          <v:shape id="Freeform: Shape 213" o:spid="_x0000_s1031" style="position:absolute;top:11827;width:2358;height:1851;visibility:visible;mso-wrap-style:square;v-text-anchor:middle" coordsize="235857,1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" path="m,l235857,3628,217714,177800,10885,185057,,xe" fillcolor="#b4c7e7" strokecolor="red" strokeweight="1pt">
                            <v:stroke dashstyle="3 1" joinstyle="miter"/>
                            <v:path arrowok="t" o:connecttype="custom" o:connectlocs="0,0;235857,3628;217714,177800;10885,185057;0,0" o:connectangles="0,0,0,0,0"/>
                          </v:shape>
                          <v:shape id="Freeform: Shape 216" o:spid="_x0000_s1032" style="position:absolute;left:12357;width:2154;height:1511;visibility:visible;mso-wrap-style:square;v-text-anchor:middle" coordsize="215348,13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" path="m19878,3313l215348,r-9940,132522l,129209,19878,3313xe" fillcolor="#b4c7e7" strokecolor="red" strokeweight="1pt">
                            <v:stroke dashstyle="3 1" joinstyle="miter"/>
                            <v:path arrowok="t" o:connecttype="custom" o:connectlocs="19878,3778;215348,0;205408,151130;0,147352;19878,3778" o:connectangles="0,0,0,0,0"/>
                          </v:shape>
                        </v:group>
                        <v:shape id="Freeform: Shape 217" o:spid="_x0000_s1033" style="position:absolute;left:14516;top:7429;width:3258;height:2312;visibility:visible;mso-wrap-style:square;v-text-anchor:middle" coordsize="325821,2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" path="m,7883l228600,r,131379l325821,144517r-15766,86711l202324,215462r,-49924l2628,181303,,7883xe" fillcolor="#b4c7e7" strokecolor="red" strokeweight="1pt">
                          <v:stroke dashstyle="3 1" joinstyle="miter"/>
                          <v:path arrowok="t" o:connecttype="custom" o:connectlocs="0,7883;228600,0;228600,131379;325821,144517;310055,231228;202324,215462;202324,165538;2628,181303;0,7883" o:connectangles="0,0,0,0,0,0,0,0,0"/>
                        </v:shape>
                        <v:shape id="Freeform: Shape 220" o:spid="_x0000_s1034" style="position:absolute;left:12344;top:7429;width:1801;height:1663;visibility:visible;mso-wrap-style:square;v-text-anchor:middle" coordsize="180109,16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" path="m83128,r94672,4619c178570,36946,179339,69273,180109,101600r-71581,2310l117764,166255,,157019,,92364r78509,6927l83128,xe" fillcolor="#b4c7e7" strokecolor="red" strokeweight="1pt">
                          <v:stroke dashstyle="3 1" joinstyle="miter"/>
                          <v:path arrowok="t" o:connecttype="custom" o:connectlocs="83128,0;177800,4619;180109,101600;108528,103910;117764,166255;0,157019;0,92364;78509,99291;83128,0" o:connectangles="0,0,0,0,0,0,0,0,0"/>
                        </v:shape>
                        <v:shape id="Freeform: Shape 223" o:spid="_x0000_s1035" style="position:absolute;left:16344;top:12192;width:1478;height:1200;visibility:visible;mso-wrap-style:square;v-text-anchor:middle" coordsize="147782,12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" path="m,l147782,4618r-9236,108528l6927,120073,,xe" fillcolor="#b4c7e7" strokecolor="red" strokeweight="1pt">
                          <v:stroke dashstyle="3 1" joinstyle="miter"/>
                          <v:path arrowok="t" o:connecttype="custom" o:connectlocs="0,0;147782,4618;138546,113146;6927,120073;0,0" o:connectangles="0,0,0,0,0"/>
                        </v:shape>
                        <v:shape id="Freeform: Shape 224" o:spid="_x0000_s1036" style="position:absolute;left:11277;top:11772;width:1593;height:1409;visibility:visible;mso-wrap-style:square;v-text-anchor:middle" coordsize="159328,14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" path="m,l150091,r9237,138545l16164,140854,,xe" fillcolor="#b4c7e7" strokecolor="red" strokeweight="1pt">
                          <v:stroke dashstyle="3 1" joinstyle="miter"/>
                          <v:path arrowok="t" o:connecttype="custom" o:connectlocs="0,0;150091,0;159328,138545;16164,140854;0,0" o:connectangles="0,0,0,0,0"/>
                        </v:shape>
                        <v:shape id="Freeform: Shape 225" o:spid="_x0000_s1037" style="position:absolute;left:10401;top:14020;width:3602;height:1570;visibility:visible;mso-wrap-style:square;v-text-anchor:middle" coordsize="360218,15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" path="m18472,l360218,13855v-770,29248,-1539,58497,-2309,87745l244763,103909r4619,48491l,157019,18472,xe" fillcolor="#b4c7e7" strokecolor="red" strokeweight="1pt">
                          <v:stroke dashstyle="3 1" joinstyle="miter"/>
                          <v:path arrowok="t" o:connecttype="custom" o:connectlocs="18472,0;360218,13855;357909,101600;244763,103909;249382,152400;0,157019;18472,0" o:connectangles="0,0,0,0,0,0,0"/>
                        </v:shape>
                        <v:shape id="Freeform: Shape 226" o:spid="_x0000_s1038" style="position:absolute;left:7353;top:11163;width:2378;height:2286;visibility:visible;mso-wrap-style:square;v-text-anchor:middle" coordsize="237836,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" path="m,143164l145472,r92364,83127l106218,228600,,143164xe" fillcolor="#b4c7e7" strokecolor="red" strokeweight="1pt">
                          <v:stroke dashstyle="3 1" joinstyle="miter"/>
                          <v:path arrowok="t" o:connecttype="custom" o:connectlocs="0,143164;145472,0;237836,83127;106218,228600;0,143164" o:connectangles="0,0,0,0,0"/>
                        </v:shape>
                        <v:shape id="Freeform: Shape 227" o:spid="_x0000_s1039" style="position:absolute;top:12992;width:1131;height:1062;visibility:visible;mso-wrap-style:square;v-text-anchor:middle" coordsize="113145,10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" path="m16163,r85437,l113145,106219,,101600,16163,xe" fillcolor="#b4c7e7" strokecolor="red" strokeweight="1pt">
                          <v:stroke dashstyle="3 1" joinstyle="miter"/>
                          <v:path arrowok="t" o:connecttype="custom" o:connectlocs="16163,0;101600,0;113145,106219;0,101600;16163,0" o:connectangles="0,0,0,0,0"/>
                        </v:shape>
                        <v:shape id="Freeform: Shape 228" o:spid="_x0000_s1040" style="position:absolute;left:990;top:9867;width:1270;height:855;visibility:visible;mso-wrap-style:square;v-text-anchor:middle" coordsize="127000,8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" path="m,l127000,r-6928,85436l6927,85436,,xe" fillcolor="#b4c7e7" strokecolor="red" strokeweight="1pt">
                          <v:stroke dashstyle="3 1" joinstyle="miter"/>
                          <v:path arrowok="t" o:connecttype="custom" o:connectlocs="0,0;127000,0;120072,85436;6927,85436;0,0" o:connectangles="0,0,0,0,0"/>
                        </v:shape>
                        <v:shape id="Freeform: Shape 229" o:spid="_x0000_s1041" style="position:absolute;left:5905;top:10477;width:947;height:1455;visibility:visible;mso-wrap-style:square;v-text-anchor:middle" coordsize="94673,14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" path="m4618,l94673,18473,90055,145473,,133928,4618,xe" fillcolor="#b4c7e7" strokecolor="red" strokeweight="1pt">
                          <v:stroke dashstyle="3 1" joinstyle="miter"/>
                          <v:path arrowok="t" o:connecttype="custom" o:connectlocs="4618,0;94673,18473;90055,145473;0,133928;4618,0" o:connectangles="0,0,0,0,0"/>
                        </v:shape>
                        <v:shape id="Freeform: Shape 230" o:spid="_x0000_s1042" style="position:absolute;left:2095;top:10096;width:3394;height:2609;visibility:visible;mso-wrap-style:square;v-text-anchor:middle" coordsize="339436,26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" path="m92364,l244764,13854r-4619,103910l325582,120073r13854,140854l217055,254000,228600,145473,4618,147782,,85436,85436,96982,92364,xe" fillcolor="#b4c7e7" strokecolor="red" strokeweight="1pt">
                          <v:stroke dashstyle="3 1" joinstyle="miter"/>
                          <v:path arrowok="t" o:connecttype="custom" o:connectlocs="92364,0;244764,13854;240145,117764;325582,120073;339436,260927;217055,254000;228600,145473;4618,147782;0,85436;85436,96982;92364,0" o:connectangles="0,0,0,0,0,0,0,0,0,0,0"/>
                        </v:shape>
                        <v:shape id="Freeform: Shape 231" o:spid="_x0000_s1043" style="position:absolute;left:1181;top:5143;width:1801;height:1940;visibility:visible;mso-wrap-style:square;v-text-anchor:middle" coordsize="180110,19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" path="m23091,l168564,4619r11546,189345l,157019,23091,xe" fillcolor="#b4c7e7" strokecolor="red" strokeweight="1pt">
                          <v:stroke dashstyle="3 1" joinstyle="miter"/>
                          <v:path arrowok="t" o:connecttype="custom" o:connectlocs="23091,0;168564,4619;180110,193964;0,157019;23091,0" o:connectangles="0,0,0,0,0"/>
                        </v:shape>
                        <v:shape id="Freeform: Shape 232" o:spid="_x0000_s1044" style="position:absolute;left:3429;top:3962;width:3024;height:3972;visibility:visible;mso-wrap-style:square;v-text-anchor:middle" coordsize="302491,39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" path="m,l140855,r-9236,173182l300182,170873v770,36176,1539,72351,2309,108527l240146,293254r-4618,103909l129309,378691v-770,-32327,-1539,-64655,-2309,-96982l92364,279400r6927,43873l4619,320963c3079,213975,1540,106988,,xe" fillcolor="#b4c7e7" strokecolor="red" strokeweight="1pt">
                          <v:stroke dashstyle="3 1" joinstyle="miter"/>
                          <v:path arrowok="t" o:connecttype="custom" o:connectlocs="0,0;140855,0;131619,173182;300182,170873;302491,279400;240146,293254;235528,397163;129309,378691;127000,281709;92364,279400;99291,323273;4619,320963;0,0" o:connectangles="0,0,0,0,0,0,0,0,0,0,0,0,0"/>
                        </v:shape>
                        <v:shape id="Freeform: Shape 233" o:spid="_x0000_s1045" style="position:absolute;left:6172;top:3733;width:3648;height:2055;visibility:visible;mso-wrap-style:square;v-text-anchor:middle" coordsize="364836,20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" path="m6927,r94673,9236l108527,80818r251691,2309l364836,205509,87746,203200r,-90055l,108527,6927,xe" fillcolor="#b4c7e7" strokecolor="red" strokeweight="1pt">
                          <v:stroke dashstyle="3 1" joinstyle="miter"/>
                          <v:path arrowok="t" o:connecttype="custom" o:connectlocs="6927,0;101600,9236;108527,80818;360218,83127;364836,205509;87746,203200;87746,113145;0,108527;6927,0" o:connectangles="0,0,0,0,0,0,0,0,0"/>
                        </v:shape>
                        <v:shape id="Freeform: Shape 234" o:spid="_x0000_s1046" style="position:absolute;left:8229;top:2743;width:1270;height:1085;visibility:visible;mso-wrap-style:square;v-text-anchor:middle" coordsize="127000,10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" path="m,l117764,4618r9236,101600l6928,108527,,xe" fillcolor="#b4c7e7" strokecolor="red" strokeweight="1pt">
                          <v:stroke dashstyle="3 1" joinstyle="miter"/>
                          <v:path arrowok="t" o:connecttype="custom" o:connectlocs="0,0;117764,4618;127000,106218;6928,108527;0,0" o:connectangles="0,0,0,0,0"/>
                        </v:shape>
                        <v:shape id="Freeform: Shape 235" o:spid="_x0000_s1047" style="position:absolute;left:5029;top:1866;width:1177;height:809;visibility:visible;mso-wrap-style:square;v-text-anchor:middle" coordsize="117763,8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" path="m41563,r76200,30018l92363,80818,,41563,41563,xe" fillcolor="#b4c7e7" strokecolor="red" strokeweight="1pt">
                          <v:stroke dashstyle="3 1" joinstyle="miter"/>
                          <v:path arrowok="t" o:connecttype="custom" o:connectlocs="41563,0;117763,30018;92363,80818;0,41563;41563,0" o:connectangles="0,0,0,0,0"/>
                        </v:shape>
                      </v:group>
                    </v:group>
                  </w:pict>
                </mc:Fallback>
              </mc:AlternateContent>
            </w:r>
          </w:p>
        </w:tc>
        <w:tc>
          <w:tcPr>
            <w:tcW w:w="2665" w:type="dxa"/>
          </w:tcPr>
          <w:p w14:paraId="365254DA"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noProof/>
                <w:sz w:val="24"/>
                <w:szCs w:val="24"/>
                <w:lang w:val="en-US"/>
              </w:rPr>
              <w:drawing>
                <wp:inline distT="0" distB="0" distL="0" distR="0" wp14:anchorId="4B75E548" wp14:editId="04E9CEA2">
                  <wp:extent cx="1796415" cy="1229995"/>
                  <wp:effectExtent l="9525" t="9525" r="9525" b="9525"/>
                  <wp:docPr id="242" name="image33.pn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Diagram, engineering drawing&#10;&#10;Description automatically generated"/>
                          <pic:cNvPicPr preferRelativeResize="0"/>
                        </pic:nvPicPr>
                        <pic:blipFill>
                          <a:blip r:embed="rId12"/>
                          <a:srcRect/>
                          <a:stretch>
                            <a:fillRect/>
                          </a:stretch>
                        </pic:blipFill>
                        <pic:spPr>
                          <a:xfrm>
                            <a:off x="0" y="0"/>
                            <a:ext cx="1796415" cy="1229995"/>
                          </a:xfrm>
                          <a:prstGeom prst="rect">
                            <a:avLst/>
                          </a:prstGeom>
                          <a:ln w="9525">
                            <a:solidFill>
                              <a:srgbClr val="000000"/>
                            </a:solidFill>
                            <a:prstDash val="solid"/>
                          </a:ln>
                        </pic:spPr>
                      </pic:pic>
                    </a:graphicData>
                  </a:graphic>
                </wp:inline>
              </w:drawing>
            </w:r>
            <w:r w:rsidRPr="0024372F">
              <w:rPr>
                <w:rFonts w:cs="Times New Roman"/>
                <w:noProof/>
                <w:sz w:val="24"/>
                <w:szCs w:val="24"/>
                <w:lang w:val="en-US"/>
              </w:rPr>
              <mc:AlternateContent>
                <mc:Choice Requires="wpg">
                  <w:drawing>
                    <wp:anchor distT="0" distB="0" distL="114300" distR="114300" simplePos="0" relativeHeight="251660288" behindDoc="0" locked="0" layoutInCell="1" allowOverlap="1" wp14:anchorId="18A8C2C5" wp14:editId="1D44AF99">
                      <wp:simplePos x="0" y="0"/>
                      <wp:positionH relativeFrom="column">
                        <wp:posOffset>426720</wp:posOffset>
                      </wp:positionH>
                      <wp:positionV relativeFrom="paragraph">
                        <wp:posOffset>50165</wp:posOffset>
                      </wp:positionV>
                      <wp:extent cx="958850" cy="970915"/>
                      <wp:effectExtent l="19050" t="19050" r="31750" b="3873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0" cy="970915"/>
                                <a:chOff x="0" y="0"/>
                                <a:chExt cx="1451113" cy="1544568"/>
                              </a:xfrm>
                            </wpg:grpSpPr>
                            <wps:wsp>
                              <wps:cNvPr id="237" name="Freeform: Shape 237"/>
                              <wps:cNvSpPr/>
                              <wps:spPr>
                                <a:xfrm>
                                  <a:off x="798444" y="1325217"/>
                                  <a:ext cx="123093" cy="84015"/>
                                </a:xfrm>
                                <a:custGeom>
                                  <a:avLst/>
                                  <a:gdLst>
                                    <a:gd name="connsiteX0" fmla="*/ 0 w 123093"/>
                                    <a:gd name="connsiteY0" fmla="*/ 0 h 84015"/>
                                    <a:gd name="connsiteX1" fmla="*/ 123093 w 123093"/>
                                    <a:gd name="connsiteY1" fmla="*/ 15630 h 84015"/>
                                    <a:gd name="connsiteX2" fmla="*/ 78154 w 123093"/>
                                    <a:gd name="connsiteY2" fmla="*/ 84015 h 84015"/>
                                    <a:gd name="connsiteX3" fmla="*/ 25400 w 123093"/>
                                    <a:gd name="connsiteY3" fmla="*/ 66430 h 84015"/>
                                    <a:gd name="connsiteX4" fmla="*/ 0 w 123093"/>
                                    <a:gd name="connsiteY4" fmla="*/ 0 h 84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093" h="84015">
                                      <a:moveTo>
                                        <a:pt x="0" y="0"/>
                                      </a:moveTo>
                                      <a:lnTo>
                                        <a:pt x="123093" y="15630"/>
                                      </a:lnTo>
                                      <a:lnTo>
                                        <a:pt x="78154" y="84015"/>
                                      </a:lnTo>
                                      <a:lnTo>
                                        <a:pt x="25400" y="66430"/>
                                      </a:lnTo>
                                      <a:lnTo>
                                        <a:pt x="0"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Freeform: Shape 238"/>
                              <wps:cNvSpPr/>
                              <wps:spPr>
                                <a:xfrm>
                                  <a:off x="904461" y="1408043"/>
                                  <a:ext cx="245836" cy="136525"/>
                                </a:xfrm>
                                <a:custGeom>
                                  <a:avLst/>
                                  <a:gdLst>
                                    <a:gd name="connsiteX0" fmla="*/ 3175 w 165100"/>
                                    <a:gd name="connsiteY0" fmla="*/ 0 h 136525"/>
                                    <a:gd name="connsiteX1" fmla="*/ 165100 w 165100"/>
                                    <a:gd name="connsiteY1" fmla="*/ 6350 h 136525"/>
                                    <a:gd name="connsiteX2" fmla="*/ 158750 w 165100"/>
                                    <a:gd name="connsiteY2" fmla="*/ 136525 h 136525"/>
                                    <a:gd name="connsiteX3" fmla="*/ 0 w 165100"/>
                                    <a:gd name="connsiteY3" fmla="*/ 127000 h 136525"/>
                                    <a:gd name="connsiteX4" fmla="*/ 3175 w 165100"/>
                                    <a:gd name="connsiteY4" fmla="*/ 0 h 136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100" h="136525">
                                      <a:moveTo>
                                        <a:pt x="3175" y="0"/>
                                      </a:moveTo>
                                      <a:lnTo>
                                        <a:pt x="165100" y="6350"/>
                                      </a:lnTo>
                                      <a:lnTo>
                                        <a:pt x="158750" y="136525"/>
                                      </a:lnTo>
                                      <a:lnTo>
                                        <a:pt x="0" y="127000"/>
                                      </a:lnTo>
                                      <a:cubicBezTo>
                                        <a:pt x="1058" y="84667"/>
                                        <a:pt x="2117" y="42333"/>
                                        <a:pt x="3175" y="0"/>
                                      </a:cubicBez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0" y="1182756"/>
                                  <a:ext cx="235857" cy="185057"/>
                                </a:xfrm>
                                <a:custGeom>
                                  <a:avLst/>
                                  <a:gdLst>
                                    <a:gd name="connsiteX0" fmla="*/ 0 w 235857"/>
                                    <a:gd name="connsiteY0" fmla="*/ 0 h 185057"/>
                                    <a:gd name="connsiteX1" fmla="*/ 235857 w 235857"/>
                                    <a:gd name="connsiteY1" fmla="*/ 3628 h 185057"/>
                                    <a:gd name="connsiteX2" fmla="*/ 217714 w 235857"/>
                                    <a:gd name="connsiteY2" fmla="*/ 177800 h 185057"/>
                                    <a:gd name="connsiteX3" fmla="*/ 10885 w 235857"/>
                                    <a:gd name="connsiteY3" fmla="*/ 185057 h 185057"/>
                                    <a:gd name="connsiteX4" fmla="*/ 0 w 235857"/>
                                    <a:gd name="connsiteY4" fmla="*/ 0 h 1850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857" h="185057">
                                      <a:moveTo>
                                        <a:pt x="0" y="0"/>
                                      </a:moveTo>
                                      <a:lnTo>
                                        <a:pt x="235857" y="3628"/>
                                      </a:lnTo>
                                      <a:lnTo>
                                        <a:pt x="217714" y="177800"/>
                                      </a:lnTo>
                                      <a:lnTo>
                                        <a:pt x="10885" y="185057"/>
                                      </a:lnTo>
                                      <a:lnTo>
                                        <a:pt x="0" y="0"/>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Freeform: Shape 240"/>
                              <wps:cNvSpPr/>
                              <wps:spPr>
                                <a:xfrm>
                                  <a:off x="1235765" y="0"/>
                                  <a:ext cx="215348" cy="151130"/>
                                </a:xfrm>
                                <a:custGeom>
                                  <a:avLst/>
                                  <a:gdLst>
                                    <a:gd name="connsiteX0" fmla="*/ 19878 w 215348"/>
                                    <a:gd name="connsiteY0" fmla="*/ 3313 h 132522"/>
                                    <a:gd name="connsiteX1" fmla="*/ 215348 w 215348"/>
                                    <a:gd name="connsiteY1" fmla="*/ 0 h 132522"/>
                                    <a:gd name="connsiteX2" fmla="*/ 205408 w 215348"/>
                                    <a:gd name="connsiteY2" fmla="*/ 132522 h 132522"/>
                                    <a:gd name="connsiteX3" fmla="*/ 0 w 215348"/>
                                    <a:gd name="connsiteY3" fmla="*/ 129209 h 132522"/>
                                    <a:gd name="connsiteX4" fmla="*/ 19878 w 215348"/>
                                    <a:gd name="connsiteY4" fmla="*/ 3313 h 1325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5348" h="132522">
                                      <a:moveTo>
                                        <a:pt x="19878" y="3313"/>
                                      </a:moveTo>
                                      <a:lnTo>
                                        <a:pt x="215348" y="0"/>
                                      </a:lnTo>
                                      <a:lnTo>
                                        <a:pt x="205408" y="132522"/>
                                      </a:lnTo>
                                      <a:lnTo>
                                        <a:pt x="0" y="129209"/>
                                      </a:lnTo>
                                      <a:lnTo>
                                        <a:pt x="19878" y="3313"/>
                                      </a:lnTo>
                                      <a:close/>
                                    </a:path>
                                  </a:pathLst>
                                </a:custGeom>
                                <a:solidFill>
                                  <a:srgbClr val="4472C4">
                                    <a:lumMod val="40000"/>
                                    <a:lumOff val="60000"/>
                                  </a:srgbClr>
                                </a:solid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437152" id="Group 8" o:spid="_x0000_s1026" style="position:absolute;margin-left:33.6pt;margin-top:3.95pt;width:75.5pt;height:76.45pt;z-index:251660288" coordsize="14511,1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">
                      <v:shape id="Freeform: Shape 237" o:spid="_x0000_s1027" style="position:absolute;left:7984;top:13252;width:1231;height:840;visibility:visible;mso-wrap-style:square;v-text-anchor:middle" coordsize="123093,8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" path="m,l123093,15630,78154,84015,25400,66430,,xe" fillcolor="#b4c7e7" strokecolor="red" strokeweight="1pt">
                        <v:stroke dashstyle="3 1" joinstyle="miter"/>
                        <v:path arrowok="t" o:connecttype="custom" o:connectlocs="0,0;123093,15630;78154,84015;25400,66430;0,0" o:connectangles="0,0,0,0,0"/>
                      </v:shape>
                      <v:shape id="Freeform: Shape 238" o:spid="_x0000_s1028" style="position:absolute;left:9044;top:14080;width:2458;height:1365;visibility:visible;mso-wrap-style:square;v-text-anchor:middle" coordsize="16510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" path="m3175,l165100,6350r-6350,130175l,127000c1058,84667,2117,42333,3175,xe" fillcolor="#b4c7e7" strokecolor="red" strokeweight="1pt">
                        <v:stroke dashstyle="3 1" joinstyle="miter"/>
                        <v:path arrowok="t" o:connecttype="custom" o:connectlocs="4728,0;245836,6350;236381,136525;0,127000;4728,0" o:connectangles="0,0,0,0,0"/>
                      </v:shape>
                      <v:shape id="Freeform: Shape 239" o:spid="_x0000_s1029" style="position:absolute;top:11827;width:2358;height:1851;visibility:visible;mso-wrap-style:square;v-text-anchor:middle" coordsize="235857,1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" path="m,l235857,3628,217714,177800,10885,185057,,xe" fillcolor="#b4c7e7" strokecolor="red" strokeweight="1pt">
                        <v:stroke dashstyle="3 1" joinstyle="miter"/>
                        <v:path arrowok="t" o:connecttype="custom" o:connectlocs="0,0;235857,3628;217714,177800;10885,185057;0,0" o:connectangles="0,0,0,0,0"/>
                      </v:shape>
                      <v:shape id="Freeform: Shape 240" o:spid="_x0000_s1030" style="position:absolute;left:12357;width:2154;height:1511;visibility:visible;mso-wrap-style:square;v-text-anchor:middle" coordsize="215348,13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" path="m19878,3313l215348,r-9940,132522l,129209,19878,3313xe" fillcolor="#b4c7e7" strokecolor="red" strokeweight="1pt">
                        <v:stroke dashstyle="3 1" joinstyle="miter"/>
                        <v:path arrowok="t" o:connecttype="custom" o:connectlocs="19878,3778;215348,0;205408,151130;0,147352;19878,3778" o:connectangles="0,0,0,0,0"/>
                      </v:shape>
                    </v:group>
                  </w:pict>
                </mc:Fallback>
              </mc:AlternateContent>
            </w:r>
          </w:p>
        </w:tc>
        <w:tc>
          <w:tcPr>
            <w:tcW w:w="2661" w:type="dxa"/>
          </w:tcPr>
          <w:p w14:paraId="0F8E0A89"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noProof/>
                <w:sz w:val="24"/>
                <w:szCs w:val="24"/>
                <w:lang w:val="en-US"/>
              </w:rPr>
              <w:drawing>
                <wp:inline distT="0" distB="0" distL="0" distR="0" wp14:anchorId="6F11449D" wp14:editId="0482388B">
                  <wp:extent cx="1839595" cy="1229995"/>
                  <wp:effectExtent l="9525" t="9525" r="9525" b="9525"/>
                  <wp:docPr id="243" name="image34.pn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Diagram, engineering drawing&#10;&#10;Description automatically generated"/>
                          <pic:cNvPicPr preferRelativeResize="0"/>
                        </pic:nvPicPr>
                        <pic:blipFill>
                          <a:blip r:embed="rId13"/>
                          <a:srcRect/>
                          <a:stretch>
                            <a:fillRect/>
                          </a:stretch>
                        </pic:blipFill>
                        <pic:spPr>
                          <a:xfrm>
                            <a:off x="0" y="0"/>
                            <a:ext cx="1839595" cy="1229995"/>
                          </a:xfrm>
                          <a:prstGeom prst="rect">
                            <a:avLst/>
                          </a:prstGeom>
                          <a:ln w="9525">
                            <a:solidFill>
                              <a:srgbClr val="000000"/>
                            </a:solidFill>
                            <a:prstDash val="solid"/>
                          </a:ln>
                        </pic:spPr>
                      </pic:pic>
                    </a:graphicData>
                  </a:graphic>
                </wp:inline>
              </w:drawing>
            </w:r>
          </w:p>
        </w:tc>
      </w:tr>
      <w:tr w:rsidR="0024372F" w:rsidRPr="0024372F" w14:paraId="197B1CD0" w14:textId="77777777" w:rsidTr="002027A9">
        <w:trPr>
          <w:trHeight w:val="2146"/>
          <w:jc w:val="center"/>
        </w:trPr>
        <w:tc>
          <w:tcPr>
            <w:tcW w:w="2585" w:type="dxa"/>
          </w:tcPr>
          <w:p w14:paraId="713C8FC0"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noProof/>
                <w:sz w:val="24"/>
                <w:szCs w:val="24"/>
                <w:lang w:val="en-US"/>
              </w:rPr>
              <w:drawing>
                <wp:inline distT="0" distB="0" distL="0" distR="0" wp14:anchorId="12BFE991" wp14:editId="67701493">
                  <wp:extent cx="1723660" cy="1354455"/>
                  <wp:effectExtent l="0" t="0" r="0" b="0"/>
                  <wp:docPr id="244" name="image3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picture containing text&#10;&#10;Description automatically generated"/>
                          <pic:cNvPicPr preferRelativeResize="0"/>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6032" t="20953" r="23341" b="20113"/>
                          <a:stretch/>
                        </pic:blipFill>
                        <pic:spPr bwMode="auto">
                          <a:xfrm>
                            <a:off x="0" y="0"/>
                            <a:ext cx="1727201" cy="1357237"/>
                          </a:xfrm>
                          <a:prstGeom prst="rect">
                            <a:avLst/>
                          </a:prstGeom>
                          <a:ln>
                            <a:noFill/>
                          </a:ln>
                          <a:extLst>
                            <a:ext uri="{53640926-AAD7-44D8-BBD7-CCE9431645EC}">
                              <a14:shadowObscured xmlns:a14="http://schemas.microsoft.com/office/drawing/2010/main"/>
                            </a:ext>
                          </a:extLst>
                        </pic:spPr>
                      </pic:pic>
                    </a:graphicData>
                  </a:graphic>
                </wp:inline>
              </w:drawing>
            </w:r>
          </w:p>
          <w:p w14:paraId="3B63B4D5"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sz w:val="24"/>
                <w:szCs w:val="24"/>
                <w:lang w:val="en-US"/>
              </w:rPr>
              <w:t>SPOT 5</w:t>
            </w:r>
          </w:p>
          <w:p w14:paraId="7B1D216C"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sz w:val="24"/>
                <w:szCs w:val="24"/>
                <w:lang w:val="en-US"/>
              </w:rPr>
              <w:t>(a)</w:t>
            </w:r>
          </w:p>
        </w:tc>
        <w:tc>
          <w:tcPr>
            <w:tcW w:w="2665" w:type="dxa"/>
          </w:tcPr>
          <w:p w14:paraId="27982878"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noProof/>
                <w:sz w:val="24"/>
                <w:szCs w:val="24"/>
                <w:lang w:val="en-US"/>
              </w:rPr>
              <w:drawing>
                <wp:inline distT="0" distB="0" distL="0" distR="0" wp14:anchorId="51D22E62" wp14:editId="074A3D6C">
                  <wp:extent cx="1748008" cy="1354455"/>
                  <wp:effectExtent l="0" t="0" r="5080" b="0"/>
                  <wp:docPr id="245" name="image25.png" descr="A picture containing text, black, old,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picture containing text, black, old, white&#10;&#10;Description automatically generated"/>
                          <pic:cNvPicPr preferRelativeResize="0"/>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16472" t="-1" b="-159"/>
                          <a:stretch/>
                        </pic:blipFill>
                        <pic:spPr bwMode="auto">
                          <a:xfrm>
                            <a:off x="0" y="0"/>
                            <a:ext cx="1752959" cy="1358292"/>
                          </a:xfrm>
                          <a:prstGeom prst="rect">
                            <a:avLst/>
                          </a:prstGeom>
                          <a:ln>
                            <a:noFill/>
                          </a:ln>
                          <a:extLst>
                            <a:ext uri="{53640926-AAD7-44D8-BBD7-CCE9431645EC}">
                              <a14:shadowObscured xmlns:a14="http://schemas.microsoft.com/office/drawing/2010/main"/>
                            </a:ext>
                          </a:extLst>
                        </pic:spPr>
                      </pic:pic>
                    </a:graphicData>
                  </a:graphic>
                </wp:inline>
              </w:drawing>
            </w:r>
          </w:p>
          <w:p w14:paraId="13553D5E"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sz w:val="24"/>
                <w:szCs w:val="24"/>
                <w:lang w:val="en-US"/>
              </w:rPr>
              <w:t>SPOT 7</w:t>
            </w:r>
          </w:p>
          <w:p w14:paraId="481FF459"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sz w:val="24"/>
                <w:szCs w:val="24"/>
                <w:lang w:val="en-US"/>
              </w:rPr>
              <w:t>(b)</w:t>
            </w:r>
          </w:p>
        </w:tc>
        <w:tc>
          <w:tcPr>
            <w:tcW w:w="2661" w:type="dxa"/>
          </w:tcPr>
          <w:p w14:paraId="0CEDD2D3"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noProof/>
                <w:sz w:val="24"/>
                <w:szCs w:val="24"/>
                <w:lang w:val="en-US"/>
              </w:rPr>
              <w:drawing>
                <wp:inline distT="0" distB="0" distL="0" distR="0" wp14:anchorId="46230737" wp14:editId="48D89E8C">
                  <wp:extent cx="1579418" cy="1354985"/>
                  <wp:effectExtent l="0" t="0" r="1905" b="0"/>
                  <wp:docPr id="246" name="image26.png" descr="A picture containing text, outdoor, bla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picture containing text, outdoor, black&#10;&#10;Description automatically generated"/>
                          <pic:cNvPicPr preferRelativeResize="0"/>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5641" t="-1" r="8473" b="-159"/>
                          <a:stretch/>
                        </pic:blipFill>
                        <pic:spPr bwMode="auto">
                          <a:xfrm>
                            <a:off x="0" y="0"/>
                            <a:ext cx="1587851" cy="1362220"/>
                          </a:xfrm>
                          <a:prstGeom prst="rect">
                            <a:avLst/>
                          </a:prstGeom>
                          <a:ln>
                            <a:noFill/>
                          </a:ln>
                          <a:extLst>
                            <a:ext uri="{53640926-AAD7-44D8-BBD7-CCE9431645EC}">
                              <a14:shadowObscured xmlns:a14="http://schemas.microsoft.com/office/drawing/2010/main"/>
                            </a:ext>
                          </a:extLst>
                        </pic:spPr>
                      </pic:pic>
                    </a:graphicData>
                  </a:graphic>
                </wp:inline>
              </w:drawing>
            </w:r>
          </w:p>
          <w:p w14:paraId="1ABDAFFD"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sz w:val="24"/>
                <w:szCs w:val="24"/>
                <w:lang w:val="en-US"/>
              </w:rPr>
              <w:t>Drone</w:t>
            </w:r>
          </w:p>
          <w:p w14:paraId="7A152D63"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sz w:val="24"/>
                <w:szCs w:val="24"/>
                <w:lang w:val="en-US"/>
              </w:rPr>
              <w:t>(c)</w:t>
            </w:r>
          </w:p>
        </w:tc>
      </w:tr>
    </w:tbl>
    <w:p w14:paraId="4816BD2A" w14:textId="633CAF5F" w:rsidR="0024372F" w:rsidRPr="0024372F" w:rsidRDefault="0024372F" w:rsidP="004251DA">
      <w:pPr>
        <w:spacing w:after="0" w:line="240" w:lineRule="auto"/>
        <w:ind w:left="1080" w:right="926"/>
        <w:jc w:val="both"/>
        <w:rPr>
          <w:rFonts w:cs="Times New Roman"/>
          <w:sz w:val="24"/>
          <w:szCs w:val="24"/>
        </w:rPr>
      </w:pPr>
      <w:r w:rsidRPr="004251DA">
        <w:rPr>
          <w:rFonts w:cs="Times New Roman"/>
          <w:b/>
          <w:bCs/>
        </w:rPr>
        <w:t>Fig.</w:t>
      </w:r>
      <w:r w:rsidR="004251DA">
        <w:rPr>
          <w:rFonts w:cs="Times New Roman"/>
          <w:b/>
          <w:bCs/>
        </w:rPr>
        <w:t xml:space="preserve"> </w:t>
      </w:r>
      <w:r w:rsidRPr="004251DA">
        <w:rPr>
          <w:rFonts w:cs="Times New Roman"/>
          <w:b/>
          <w:bCs/>
        </w:rPr>
        <w:t>2.</w:t>
      </w:r>
      <w:r w:rsidRPr="004251DA">
        <w:rPr>
          <w:rFonts w:cs="Times New Roman"/>
        </w:rPr>
        <w:t xml:space="preserve"> Images showed the area of Sungai Batu (a) the red-dotted polygons indicated the invisible proxies (b) The SPOT-7 satellite image reveals that the region was being excavated and that several ancient sites had been unearthed and (c) the latest image of Sungai Batu in 2021 from a drone perspective</w:t>
      </w:r>
    </w:p>
    <w:p w14:paraId="2B63D18C" w14:textId="77777777" w:rsidR="0024372F" w:rsidRPr="0024372F" w:rsidRDefault="0024372F" w:rsidP="0024372F">
      <w:pPr>
        <w:spacing w:after="0" w:line="240" w:lineRule="auto"/>
        <w:jc w:val="both"/>
        <w:rPr>
          <w:rFonts w:cs="Times New Roman"/>
          <w:b/>
          <w:bCs/>
          <w:sz w:val="24"/>
          <w:szCs w:val="24"/>
        </w:rPr>
      </w:pPr>
    </w:p>
    <w:p w14:paraId="1AC2CC10" w14:textId="305A0A9B" w:rsidR="004251DA" w:rsidRPr="004251DA" w:rsidRDefault="0024372F" w:rsidP="004251DA">
      <w:pPr>
        <w:spacing w:after="0" w:line="240" w:lineRule="auto"/>
        <w:ind w:left="810"/>
        <w:jc w:val="both"/>
        <w:rPr>
          <w:rFonts w:cs="Times New Roman"/>
          <w:b/>
          <w:bCs/>
        </w:rPr>
      </w:pPr>
      <w:r w:rsidRPr="004251DA">
        <w:rPr>
          <w:rFonts w:cs="Times New Roman"/>
          <w:b/>
          <w:bCs/>
        </w:rPr>
        <w:t>Table 1</w:t>
      </w:r>
    </w:p>
    <w:p w14:paraId="28A7DA7A" w14:textId="0955AB23" w:rsidR="0024372F" w:rsidRPr="004251DA" w:rsidRDefault="0024372F" w:rsidP="004251DA">
      <w:pPr>
        <w:spacing w:after="0" w:line="240" w:lineRule="auto"/>
        <w:ind w:left="810"/>
        <w:jc w:val="both"/>
        <w:rPr>
          <w:rFonts w:cs="Times New Roman"/>
        </w:rPr>
      </w:pPr>
      <w:r w:rsidRPr="004251DA">
        <w:rPr>
          <w:rFonts w:cs="Times New Roman"/>
        </w:rPr>
        <w:t>The characteristics of SPOT-5 and SPOT-7 [36]</w:t>
      </w:r>
    </w:p>
    <w:tbl>
      <w:tblPr>
        <w:tblW w:w="8358" w:type="dxa"/>
        <w:jc w:val="center"/>
        <w:tblBorders>
          <w:top w:val="single" w:sz="4" w:space="0" w:color="auto"/>
          <w:bottom w:val="single" w:sz="4" w:space="0" w:color="auto"/>
        </w:tblBorders>
        <w:tblLayout w:type="fixed"/>
        <w:tblLook w:val="0400" w:firstRow="0" w:lastRow="0" w:firstColumn="0" w:lastColumn="0" w:noHBand="0" w:noVBand="1"/>
      </w:tblPr>
      <w:tblGrid>
        <w:gridCol w:w="1860"/>
        <w:gridCol w:w="6498"/>
      </w:tblGrid>
      <w:tr w:rsidR="0024372F" w:rsidRPr="004251DA" w14:paraId="447A23D8" w14:textId="77777777" w:rsidTr="004251DA">
        <w:trPr>
          <w:trHeight w:val="50"/>
          <w:jc w:val="center"/>
        </w:trPr>
        <w:tc>
          <w:tcPr>
            <w:tcW w:w="1860" w:type="dxa"/>
            <w:tcBorders>
              <w:bottom w:val="single" w:sz="4" w:space="0" w:color="auto"/>
            </w:tcBorders>
            <w:shd w:val="clear" w:color="auto" w:fill="auto"/>
          </w:tcPr>
          <w:p w14:paraId="4A75336A"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Platform</w:t>
            </w:r>
          </w:p>
        </w:tc>
        <w:tc>
          <w:tcPr>
            <w:tcW w:w="6498" w:type="dxa"/>
            <w:tcBorders>
              <w:bottom w:val="single" w:sz="4" w:space="0" w:color="auto"/>
            </w:tcBorders>
            <w:shd w:val="clear" w:color="auto" w:fill="auto"/>
          </w:tcPr>
          <w:p w14:paraId="0D425316"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SPOT- 5 / SPOT-7</w:t>
            </w:r>
          </w:p>
        </w:tc>
      </w:tr>
      <w:tr w:rsidR="0024372F" w:rsidRPr="004251DA" w14:paraId="7C16C4D8" w14:textId="77777777" w:rsidTr="004251DA">
        <w:trPr>
          <w:trHeight w:val="143"/>
          <w:jc w:val="center"/>
        </w:trPr>
        <w:tc>
          <w:tcPr>
            <w:tcW w:w="1860" w:type="dxa"/>
            <w:vMerge w:val="restart"/>
            <w:tcBorders>
              <w:top w:val="single" w:sz="4" w:space="0" w:color="auto"/>
              <w:bottom w:val="nil"/>
            </w:tcBorders>
            <w:shd w:val="clear" w:color="auto" w:fill="auto"/>
          </w:tcPr>
          <w:p w14:paraId="1CBDFFCB"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Characteristics</w:t>
            </w:r>
          </w:p>
        </w:tc>
        <w:tc>
          <w:tcPr>
            <w:tcW w:w="6498" w:type="dxa"/>
            <w:tcBorders>
              <w:top w:val="single" w:sz="4" w:space="0" w:color="auto"/>
              <w:bottom w:val="nil"/>
            </w:tcBorders>
            <w:shd w:val="clear" w:color="auto" w:fill="auto"/>
          </w:tcPr>
          <w:p w14:paraId="400ADEEB"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Same image swath of 60 km to maintain a high level of coverage capability</w:t>
            </w:r>
          </w:p>
        </w:tc>
      </w:tr>
      <w:tr w:rsidR="0024372F" w:rsidRPr="004251DA" w14:paraId="6384048E" w14:textId="77777777" w:rsidTr="004251DA">
        <w:trPr>
          <w:trHeight w:val="50"/>
          <w:jc w:val="center"/>
        </w:trPr>
        <w:tc>
          <w:tcPr>
            <w:tcW w:w="1860" w:type="dxa"/>
            <w:vMerge/>
            <w:tcBorders>
              <w:top w:val="nil"/>
            </w:tcBorders>
            <w:shd w:val="clear" w:color="auto" w:fill="auto"/>
          </w:tcPr>
          <w:p w14:paraId="108A8CC1" w14:textId="77777777" w:rsidR="0024372F" w:rsidRPr="004251DA" w:rsidRDefault="0024372F" w:rsidP="0024372F">
            <w:pPr>
              <w:spacing w:after="0" w:line="240" w:lineRule="auto"/>
              <w:jc w:val="both"/>
              <w:rPr>
                <w:rFonts w:cs="Times New Roman"/>
                <w:sz w:val="20"/>
                <w:szCs w:val="20"/>
              </w:rPr>
            </w:pPr>
          </w:p>
        </w:tc>
        <w:tc>
          <w:tcPr>
            <w:tcW w:w="6498" w:type="dxa"/>
            <w:tcBorders>
              <w:top w:val="nil"/>
            </w:tcBorders>
            <w:shd w:val="clear" w:color="auto" w:fill="auto"/>
          </w:tcPr>
          <w:p w14:paraId="2E468C60"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Resolution with 1.5 m ortho imagery</w:t>
            </w:r>
          </w:p>
        </w:tc>
      </w:tr>
      <w:tr w:rsidR="0024372F" w:rsidRPr="004251DA" w14:paraId="76B568A1" w14:textId="77777777" w:rsidTr="004251DA">
        <w:trPr>
          <w:trHeight w:val="50"/>
          <w:jc w:val="center"/>
        </w:trPr>
        <w:tc>
          <w:tcPr>
            <w:tcW w:w="1860" w:type="dxa"/>
            <w:vMerge/>
            <w:shd w:val="clear" w:color="auto" w:fill="auto"/>
          </w:tcPr>
          <w:p w14:paraId="5AAFB8F1" w14:textId="77777777" w:rsidR="0024372F" w:rsidRPr="004251DA" w:rsidRDefault="0024372F" w:rsidP="0024372F">
            <w:pPr>
              <w:spacing w:after="0" w:line="240" w:lineRule="auto"/>
              <w:jc w:val="both"/>
              <w:rPr>
                <w:rFonts w:cs="Times New Roman"/>
                <w:sz w:val="20"/>
                <w:szCs w:val="20"/>
              </w:rPr>
            </w:pPr>
          </w:p>
        </w:tc>
        <w:tc>
          <w:tcPr>
            <w:tcW w:w="6498" w:type="dxa"/>
            <w:shd w:val="clear" w:color="auto" w:fill="auto"/>
          </w:tcPr>
          <w:p w14:paraId="2256CAF9"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Addition of a blue band to get a native natural color image</w:t>
            </w:r>
          </w:p>
        </w:tc>
      </w:tr>
      <w:tr w:rsidR="0024372F" w:rsidRPr="004251DA" w14:paraId="6EFACCE2" w14:textId="77777777" w:rsidTr="004251DA">
        <w:trPr>
          <w:trHeight w:val="359"/>
          <w:jc w:val="center"/>
        </w:trPr>
        <w:tc>
          <w:tcPr>
            <w:tcW w:w="1860" w:type="dxa"/>
            <w:shd w:val="clear" w:color="auto" w:fill="auto"/>
          </w:tcPr>
          <w:p w14:paraId="287BCED8"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Spatial resolution</w:t>
            </w:r>
          </w:p>
        </w:tc>
        <w:tc>
          <w:tcPr>
            <w:tcW w:w="6498" w:type="dxa"/>
            <w:shd w:val="clear" w:color="auto" w:fill="auto"/>
          </w:tcPr>
          <w:p w14:paraId="30BAECBE"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Pan: 1.5m</w:t>
            </w:r>
            <w:r w:rsidRPr="004251DA">
              <w:rPr>
                <w:rFonts w:cs="Times New Roman"/>
                <w:sz w:val="20"/>
                <w:szCs w:val="20"/>
              </w:rPr>
              <w:br/>
              <w:t>Multispectral: 6m</w:t>
            </w:r>
          </w:p>
          <w:p w14:paraId="0E18F850"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Colour merge: 1.5m</w:t>
            </w:r>
          </w:p>
        </w:tc>
      </w:tr>
      <w:tr w:rsidR="0024372F" w:rsidRPr="004251DA" w14:paraId="3C4BE0D1" w14:textId="77777777" w:rsidTr="004251DA">
        <w:trPr>
          <w:trHeight w:val="1331"/>
          <w:jc w:val="center"/>
        </w:trPr>
        <w:tc>
          <w:tcPr>
            <w:tcW w:w="1860" w:type="dxa"/>
            <w:shd w:val="clear" w:color="auto" w:fill="auto"/>
          </w:tcPr>
          <w:p w14:paraId="2692E04E"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Spectral Bands</w:t>
            </w:r>
          </w:p>
        </w:tc>
        <w:tc>
          <w:tcPr>
            <w:tcW w:w="6498" w:type="dxa"/>
            <w:shd w:val="clear" w:color="auto" w:fill="auto"/>
          </w:tcPr>
          <w:p w14:paraId="6BB3E0E2"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Multispectral bands:</w:t>
            </w:r>
          </w:p>
          <w:p w14:paraId="6EC7220E"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 xml:space="preserve">Blue (450 nm – 525 nm) / (0.455 µm – 0.525 µm), </w:t>
            </w:r>
          </w:p>
          <w:p w14:paraId="687258E9"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 xml:space="preserve">Green (530 nm – 590 nm)/ (0.530 µm – 0.590 µm), </w:t>
            </w:r>
          </w:p>
          <w:p w14:paraId="05C9DD28"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 xml:space="preserve">Red (625 nm – 695 nm)/ (0.625 µm – 0.695 µm), </w:t>
            </w:r>
          </w:p>
          <w:p w14:paraId="2C35FA56"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Near-Infrared (760 nm – 890 nm)/ (0.760 µm – 0.890 µm)</w:t>
            </w:r>
          </w:p>
          <w:p w14:paraId="2DD16E90"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Panchromatic band:</w:t>
            </w:r>
          </w:p>
          <w:p w14:paraId="568B626D"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Panchromatic (450 nm – 745 nm),</w:t>
            </w:r>
          </w:p>
        </w:tc>
      </w:tr>
      <w:tr w:rsidR="0024372F" w:rsidRPr="004251DA" w14:paraId="05596A0E" w14:textId="77777777" w:rsidTr="004251DA">
        <w:trPr>
          <w:trHeight w:val="62"/>
          <w:jc w:val="center"/>
        </w:trPr>
        <w:tc>
          <w:tcPr>
            <w:tcW w:w="1860" w:type="dxa"/>
            <w:shd w:val="clear" w:color="auto" w:fill="auto"/>
          </w:tcPr>
          <w:p w14:paraId="45FC7702"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Swath width</w:t>
            </w:r>
          </w:p>
        </w:tc>
        <w:tc>
          <w:tcPr>
            <w:tcW w:w="6498" w:type="dxa"/>
            <w:shd w:val="clear" w:color="auto" w:fill="auto"/>
          </w:tcPr>
          <w:p w14:paraId="016E73B4"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60 km (2 images)</w:t>
            </w:r>
            <w:r w:rsidRPr="004251DA">
              <w:rPr>
                <w:rFonts w:cs="Times New Roman"/>
                <w:sz w:val="20"/>
                <w:szCs w:val="20"/>
              </w:rPr>
              <w:br/>
              <w:t>120 km with single-pass mosaic</w:t>
            </w:r>
          </w:p>
        </w:tc>
      </w:tr>
      <w:tr w:rsidR="0024372F" w:rsidRPr="004251DA" w14:paraId="0D17F28F" w14:textId="77777777" w:rsidTr="004251DA">
        <w:trPr>
          <w:trHeight w:val="50"/>
          <w:jc w:val="center"/>
        </w:trPr>
        <w:tc>
          <w:tcPr>
            <w:tcW w:w="1860" w:type="dxa"/>
            <w:shd w:val="clear" w:color="auto" w:fill="auto"/>
          </w:tcPr>
          <w:p w14:paraId="52464E43"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Geolocation</w:t>
            </w:r>
          </w:p>
        </w:tc>
        <w:tc>
          <w:tcPr>
            <w:tcW w:w="6498" w:type="dxa"/>
            <w:shd w:val="clear" w:color="auto" w:fill="auto"/>
          </w:tcPr>
          <w:p w14:paraId="6E3547FF" w14:textId="77777777" w:rsidR="0024372F" w:rsidRPr="004251DA" w:rsidRDefault="0024372F" w:rsidP="004251DA">
            <w:pPr>
              <w:spacing w:after="0" w:line="240" w:lineRule="auto"/>
              <w:rPr>
                <w:rFonts w:cs="Times New Roman"/>
                <w:sz w:val="20"/>
                <w:szCs w:val="20"/>
              </w:rPr>
            </w:pPr>
            <w:r w:rsidRPr="004251DA">
              <w:rPr>
                <w:rFonts w:cs="Times New Roman"/>
                <w:sz w:val="20"/>
                <w:szCs w:val="20"/>
              </w:rPr>
              <w:t>35 m without GCP; &lt; 10 m with Ref3D</w:t>
            </w:r>
          </w:p>
        </w:tc>
      </w:tr>
    </w:tbl>
    <w:p w14:paraId="6AC1013C" w14:textId="77777777" w:rsidR="0024372F" w:rsidRPr="0024372F" w:rsidRDefault="0024372F" w:rsidP="0024372F">
      <w:pPr>
        <w:spacing w:after="0" w:line="240" w:lineRule="auto"/>
        <w:jc w:val="both"/>
        <w:rPr>
          <w:rFonts w:cs="Times New Roman"/>
          <w:sz w:val="24"/>
          <w:szCs w:val="24"/>
        </w:rPr>
      </w:pPr>
    </w:p>
    <w:p w14:paraId="095937DD" w14:textId="221831F7" w:rsidR="0024372F" w:rsidRPr="0024372F" w:rsidRDefault="002027A9" w:rsidP="0024372F">
      <w:pPr>
        <w:spacing w:after="0" w:line="240" w:lineRule="auto"/>
        <w:jc w:val="both"/>
        <w:rPr>
          <w:rFonts w:cs="Times New Roman"/>
          <w:i/>
          <w:iCs/>
          <w:sz w:val="24"/>
          <w:szCs w:val="24"/>
        </w:rPr>
      </w:pPr>
      <w:r>
        <w:rPr>
          <w:rFonts w:cs="Times New Roman"/>
          <w:i/>
          <w:iCs/>
          <w:sz w:val="24"/>
          <w:szCs w:val="24"/>
        </w:rPr>
        <w:t>2.2.2</w:t>
      </w:r>
      <w:r w:rsidR="0024372F" w:rsidRPr="0024372F">
        <w:rPr>
          <w:rFonts w:cs="Times New Roman"/>
          <w:i/>
          <w:iCs/>
          <w:sz w:val="24"/>
          <w:szCs w:val="24"/>
        </w:rPr>
        <w:t xml:space="preserve"> Geophysical - </w:t>
      </w:r>
      <w:r w:rsidRPr="0024372F">
        <w:rPr>
          <w:rFonts w:cs="Times New Roman"/>
          <w:i/>
          <w:iCs/>
          <w:sz w:val="24"/>
          <w:szCs w:val="24"/>
        </w:rPr>
        <w:t>electrical resistivity thermography</w:t>
      </w:r>
    </w:p>
    <w:p w14:paraId="3EC0BD53" w14:textId="77777777" w:rsidR="0024372F" w:rsidRPr="0024372F" w:rsidRDefault="0024372F" w:rsidP="0024372F">
      <w:pPr>
        <w:spacing w:after="0" w:line="240" w:lineRule="auto"/>
        <w:jc w:val="both"/>
        <w:rPr>
          <w:rFonts w:cs="Times New Roman"/>
          <w:sz w:val="24"/>
          <w:szCs w:val="24"/>
        </w:rPr>
      </w:pPr>
    </w:p>
    <w:p w14:paraId="032C0128" w14:textId="4B61EC52" w:rsidR="0024372F" w:rsidRPr="0024372F" w:rsidRDefault="0024372F" w:rsidP="002027A9">
      <w:pPr>
        <w:pStyle w:val="A"/>
      </w:pPr>
      <w:r w:rsidRPr="0024372F">
        <w:t>In 2017, Electrical Resistivity Tomography (ERT) was performed in the dotted red square shown in Fig</w:t>
      </w:r>
      <w:r w:rsidR="00312EC0">
        <w:t>ure</w:t>
      </w:r>
      <w:r w:rsidRPr="0024372F">
        <w:t xml:space="preserve"> 3, depicting the compound area. Two-dimensional electrical resistivity tomography (ERT) was performed using a multichannel system and the ABEM Terrameter SAS4000 instrument, commonly utilized in environmental and archaeology research by the Geophysics Unit of Universiti Sains Malaysia. Besides, an academic open-source ERT software package known as Boundless Electrical Resistivity Tomography (BERT) was used to carry out the 2D inversion technique, and </w:t>
      </w:r>
      <w:r w:rsidRPr="0024372F">
        <w:lastRenderedPageBreak/>
        <w:t>irregular triangular meshes were utilized [15]. Table 2 summarizes the features of the ground geophysical (ERT) method used to locate underground features in Sungai Batu.</w:t>
      </w:r>
    </w:p>
    <w:p w14:paraId="4A351381" w14:textId="77777777" w:rsidR="0024372F" w:rsidRPr="0024372F" w:rsidRDefault="0024372F" w:rsidP="0024372F">
      <w:pPr>
        <w:spacing w:after="0" w:line="240" w:lineRule="auto"/>
        <w:jc w:val="both"/>
        <w:rPr>
          <w:rFonts w:cs="Times New Roman"/>
          <w:sz w:val="24"/>
          <w:szCs w:val="24"/>
        </w:rPr>
      </w:pPr>
    </w:p>
    <w:p w14:paraId="713A09A3" w14:textId="77777777" w:rsidR="0024372F" w:rsidRPr="0024372F" w:rsidRDefault="0024372F" w:rsidP="004251DA">
      <w:pPr>
        <w:spacing w:after="0" w:line="240" w:lineRule="auto"/>
        <w:jc w:val="center"/>
        <w:rPr>
          <w:rFonts w:cs="Times New Roman"/>
          <w:sz w:val="24"/>
          <w:szCs w:val="24"/>
        </w:rPr>
      </w:pPr>
      <w:r w:rsidRPr="0024372F">
        <w:rPr>
          <w:rFonts w:cs="Times New Roman"/>
          <w:noProof/>
          <w:sz w:val="24"/>
          <w:szCs w:val="24"/>
        </w:rPr>
        <w:drawing>
          <wp:inline distT="0" distB="0" distL="0" distR="0" wp14:anchorId="39474B55" wp14:editId="497FCED0">
            <wp:extent cx="2962689" cy="2532840"/>
            <wp:effectExtent l="19050" t="19050" r="952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037" cy="2548526"/>
                    </a:xfrm>
                    <a:prstGeom prst="rect">
                      <a:avLst/>
                    </a:prstGeom>
                    <a:noFill/>
                    <a:ln>
                      <a:solidFill>
                        <a:schemeClr val="tx1"/>
                      </a:solidFill>
                    </a:ln>
                  </pic:spPr>
                </pic:pic>
              </a:graphicData>
            </a:graphic>
          </wp:inline>
        </w:drawing>
      </w:r>
    </w:p>
    <w:p w14:paraId="5A90B7E3" w14:textId="1F2DF94C" w:rsidR="0024372F" w:rsidRPr="004251DA" w:rsidRDefault="0024372F" w:rsidP="004251DA">
      <w:pPr>
        <w:spacing w:after="0" w:line="240" w:lineRule="auto"/>
        <w:ind w:left="2520" w:right="2546"/>
        <w:jc w:val="both"/>
        <w:rPr>
          <w:rFonts w:cs="Times New Roman"/>
        </w:rPr>
      </w:pPr>
      <w:r w:rsidRPr="0024372F">
        <w:rPr>
          <w:rFonts w:cs="Times New Roman"/>
          <w:b/>
          <w:bCs/>
          <w:sz w:val="24"/>
          <w:szCs w:val="24"/>
        </w:rPr>
        <w:t>Fig.</w:t>
      </w:r>
      <w:r w:rsidR="004251DA">
        <w:rPr>
          <w:rFonts w:cs="Times New Roman"/>
          <w:b/>
          <w:bCs/>
          <w:sz w:val="24"/>
          <w:szCs w:val="24"/>
        </w:rPr>
        <w:t xml:space="preserve"> </w:t>
      </w:r>
      <w:r w:rsidRPr="0024372F">
        <w:rPr>
          <w:rFonts w:cs="Times New Roman"/>
          <w:b/>
          <w:bCs/>
          <w:sz w:val="24"/>
          <w:szCs w:val="24"/>
        </w:rPr>
        <w:t>3.</w:t>
      </w:r>
      <w:r w:rsidRPr="0024372F">
        <w:rPr>
          <w:rFonts w:cs="Times New Roman"/>
          <w:sz w:val="24"/>
          <w:szCs w:val="24"/>
        </w:rPr>
        <w:t xml:space="preserve"> The SPOT-7 satellite image captures the preliminary research region of Sungai Batu, Lembah </w:t>
      </w:r>
      <w:r w:rsidRPr="004251DA">
        <w:rPr>
          <w:rFonts w:cs="Times New Roman"/>
        </w:rPr>
        <w:t>Bujang. The red square box denotes the geophysical measuring area (electrical resistivity technique)</w:t>
      </w:r>
    </w:p>
    <w:p w14:paraId="7CEB5B19" w14:textId="77777777" w:rsidR="0024372F" w:rsidRPr="0024372F" w:rsidRDefault="0024372F" w:rsidP="0024372F">
      <w:pPr>
        <w:spacing w:after="0" w:line="240" w:lineRule="auto"/>
        <w:jc w:val="both"/>
        <w:rPr>
          <w:rFonts w:cs="Times New Roman"/>
          <w:sz w:val="24"/>
          <w:szCs w:val="24"/>
        </w:rPr>
      </w:pPr>
    </w:p>
    <w:p w14:paraId="5E04F1EE" w14:textId="7EC22274" w:rsidR="004251DA" w:rsidRPr="004251DA" w:rsidRDefault="0024372F" w:rsidP="004251DA">
      <w:pPr>
        <w:spacing w:after="0" w:line="240" w:lineRule="auto"/>
        <w:ind w:left="1170" w:right="1016"/>
        <w:jc w:val="both"/>
        <w:rPr>
          <w:rFonts w:cs="Times New Roman"/>
          <w:b/>
          <w:bCs/>
        </w:rPr>
      </w:pPr>
      <w:r w:rsidRPr="004251DA">
        <w:rPr>
          <w:rFonts w:cs="Times New Roman"/>
          <w:b/>
          <w:bCs/>
        </w:rPr>
        <w:t>Table 2</w:t>
      </w:r>
    </w:p>
    <w:p w14:paraId="29582EA5" w14:textId="3169B45E" w:rsidR="0024372F" w:rsidRPr="004251DA" w:rsidRDefault="0024372F" w:rsidP="004251DA">
      <w:pPr>
        <w:spacing w:after="0" w:line="240" w:lineRule="auto"/>
        <w:ind w:left="1170" w:right="1016"/>
        <w:jc w:val="both"/>
        <w:rPr>
          <w:rFonts w:cs="Times New Roman"/>
        </w:rPr>
      </w:pPr>
      <w:r w:rsidRPr="004251DA">
        <w:rPr>
          <w:rFonts w:cs="Times New Roman"/>
        </w:rPr>
        <w:t>The characteristic of Electric Resistivity Thermography (ERT) in identifying the subsurface features in Sungai Batu, Lembah Bujang [37]</w:t>
      </w:r>
    </w:p>
    <w:tbl>
      <w:tblPr>
        <w:tblW w:w="7713" w:type="dxa"/>
        <w:jc w:val="center"/>
        <w:tblBorders>
          <w:top w:val="single" w:sz="4" w:space="0" w:color="auto"/>
          <w:bottom w:val="single" w:sz="4" w:space="0" w:color="auto"/>
        </w:tblBorders>
        <w:tblLayout w:type="fixed"/>
        <w:tblLook w:val="0400" w:firstRow="0" w:lastRow="0" w:firstColumn="0" w:lastColumn="0" w:noHBand="0" w:noVBand="1"/>
      </w:tblPr>
      <w:tblGrid>
        <w:gridCol w:w="2939"/>
        <w:gridCol w:w="4774"/>
      </w:tblGrid>
      <w:tr w:rsidR="0024372F" w:rsidRPr="004251DA" w14:paraId="184C3A45" w14:textId="77777777" w:rsidTr="004251DA">
        <w:trPr>
          <w:trHeight w:val="241"/>
          <w:jc w:val="center"/>
        </w:trPr>
        <w:tc>
          <w:tcPr>
            <w:tcW w:w="2939" w:type="dxa"/>
            <w:tcBorders>
              <w:top w:val="single" w:sz="4" w:space="0" w:color="auto"/>
              <w:bottom w:val="single" w:sz="4" w:space="0" w:color="auto"/>
            </w:tcBorders>
            <w:shd w:val="clear" w:color="auto" w:fill="auto"/>
          </w:tcPr>
          <w:p w14:paraId="37022ECF"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Characteristic</w:t>
            </w:r>
          </w:p>
        </w:tc>
        <w:tc>
          <w:tcPr>
            <w:tcW w:w="4774" w:type="dxa"/>
            <w:tcBorders>
              <w:top w:val="single" w:sz="4" w:space="0" w:color="auto"/>
              <w:bottom w:val="single" w:sz="4" w:space="0" w:color="auto"/>
            </w:tcBorders>
          </w:tcPr>
          <w:p w14:paraId="69CA7DE2"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 xml:space="preserve">Geophysical </w:t>
            </w:r>
          </w:p>
        </w:tc>
      </w:tr>
      <w:tr w:rsidR="0024372F" w:rsidRPr="004251DA" w14:paraId="16CB0CD8" w14:textId="77777777" w:rsidTr="004251DA">
        <w:trPr>
          <w:trHeight w:val="253"/>
          <w:jc w:val="center"/>
        </w:trPr>
        <w:tc>
          <w:tcPr>
            <w:tcW w:w="2939" w:type="dxa"/>
            <w:tcBorders>
              <w:top w:val="single" w:sz="4" w:space="0" w:color="auto"/>
            </w:tcBorders>
            <w:shd w:val="clear" w:color="auto" w:fill="auto"/>
          </w:tcPr>
          <w:p w14:paraId="3F642383"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Medium</w:t>
            </w:r>
          </w:p>
        </w:tc>
        <w:tc>
          <w:tcPr>
            <w:tcW w:w="4774" w:type="dxa"/>
            <w:tcBorders>
              <w:top w:val="single" w:sz="4" w:space="0" w:color="auto"/>
            </w:tcBorders>
          </w:tcPr>
          <w:p w14:paraId="7FB32623"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Electrical Resistivity Thermography.</w:t>
            </w:r>
          </w:p>
        </w:tc>
      </w:tr>
      <w:tr w:rsidR="0024372F" w:rsidRPr="004251DA" w14:paraId="1106C7D7" w14:textId="77777777" w:rsidTr="004251DA">
        <w:trPr>
          <w:trHeight w:val="1230"/>
          <w:jc w:val="center"/>
        </w:trPr>
        <w:tc>
          <w:tcPr>
            <w:tcW w:w="2939" w:type="dxa"/>
            <w:shd w:val="clear" w:color="auto" w:fill="auto"/>
          </w:tcPr>
          <w:p w14:paraId="06B88553"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 xml:space="preserve">Year </w:t>
            </w:r>
          </w:p>
          <w:p w14:paraId="6FDF863C"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Accuracy</w:t>
            </w:r>
          </w:p>
        </w:tc>
        <w:tc>
          <w:tcPr>
            <w:tcW w:w="4774" w:type="dxa"/>
          </w:tcPr>
          <w:p w14:paraId="6D2D97C4"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2017</w:t>
            </w:r>
          </w:p>
          <w:p w14:paraId="092430AB"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Depending on the method</w:t>
            </w:r>
          </w:p>
          <w:p w14:paraId="4C6BCA57"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(Pole-pole &lt; low accuracy)</w:t>
            </w:r>
          </w:p>
          <w:p w14:paraId="5E3E4A9D"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Pole-dipole &gt; good accuracy)</w:t>
            </w:r>
          </w:p>
          <w:p w14:paraId="16C14F2A"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Dipole-dipole &gt; high accuracy and detail profile)</w:t>
            </w:r>
          </w:p>
        </w:tc>
      </w:tr>
      <w:tr w:rsidR="0024372F" w:rsidRPr="004251DA" w14:paraId="010E0018" w14:textId="77777777" w:rsidTr="004251DA">
        <w:trPr>
          <w:trHeight w:val="241"/>
          <w:jc w:val="center"/>
        </w:trPr>
        <w:tc>
          <w:tcPr>
            <w:tcW w:w="2939" w:type="dxa"/>
            <w:shd w:val="clear" w:color="auto" w:fill="auto"/>
          </w:tcPr>
          <w:p w14:paraId="4C2D44D1"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Spectral Range</w:t>
            </w:r>
          </w:p>
        </w:tc>
        <w:tc>
          <w:tcPr>
            <w:tcW w:w="4774" w:type="dxa"/>
          </w:tcPr>
          <w:p w14:paraId="7FB5EB3A"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Electric wave</w:t>
            </w:r>
          </w:p>
        </w:tc>
      </w:tr>
      <w:tr w:rsidR="0024372F" w:rsidRPr="004251DA" w14:paraId="2FBF0690" w14:textId="77777777" w:rsidTr="004251DA">
        <w:trPr>
          <w:trHeight w:val="241"/>
          <w:jc w:val="center"/>
        </w:trPr>
        <w:tc>
          <w:tcPr>
            <w:tcW w:w="2939" w:type="dxa"/>
            <w:shd w:val="clear" w:color="auto" w:fill="auto"/>
          </w:tcPr>
          <w:p w14:paraId="11263B1D"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Spatial Extend</w:t>
            </w:r>
          </w:p>
        </w:tc>
        <w:tc>
          <w:tcPr>
            <w:tcW w:w="4774" w:type="dxa"/>
          </w:tcPr>
          <w:p w14:paraId="02B68954"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Several hectares (Vertical)</w:t>
            </w:r>
          </w:p>
        </w:tc>
      </w:tr>
      <w:tr w:rsidR="0024372F" w:rsidRPr="004251DA" w14:paraId="1C623003" w14:textId="77777777" w:rsidTr="004251DA">
        <w:trPr>
          <w:trHeight w:val="253"/>
          <w:jc w:val="center"/>
        </w:trPr>
        <w:tc>
          <w:tcPr>
            <w:tcW w:w="2939" w:type="dxa"/>
            <w:shd w:val="clear" w:color="auto" w:fill="auto"/>
          </w:tcPr>
          <w:p w14:paraId="4E6B967F"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3D visualization</w:t>
            </w:r>
          </w:p>
        </w:tc>
        <w:tc>
          <w:tcPr>
            <w:tcW w:w="4774" w:type="dxa"/>
          </w:tcPr>
          <w:p w14:paraId="1079669C"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Available</w:t>
            </w:r>
          </w:p>
        </w:tc>
      </w:tr>
      <w:tr w:rsidR="0024372F" w:rsidRPr="004251DA" w14:paraId="5E3D8C01" w14:textId="77777777" w:rsidTr="004251DA">
        <w:trPr>
          <w:trHeight w:val="241"/>
          <w:jc w:val="center"/>
        </w:trPr>
        <w:tc>
          <w:tcPr>
            <w:tcW w:w="2939" w:type="dxa"/>
            <w:shd w:val="clear" w:color="auto" w:fill="auto"/>
          </w:tcPr>
          <w:p w14:paraId="7DD8A58C"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Soil penetration</w:t>
            </w:r>
          </w:p>
        </w:tc>
        <w:tc>
          <w:tcPr>
            <w:tcW w:w="4774" w:type="dxa"/>
          </w:tcPr>
          <w:p w14:paraId="7B53F07B"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Available</w:t>
            </w:r>
          </w:p>
        </w:tc>
      </w:tr>
      <w:tr w:rsidR="0024372F" w:rsidRPr="004251DA" w14:paraId="19C324FB" w14:textId="77777777" w:rsidTr="004251DA">
        <w:trPr>
          <w:trHeight w:val="241"/>
          <w:jc w:val="center"/>
        </w:trPr>
        <w:tc>
          <w:tcPr>
            <w:tcW w:w="2939" w:type="dxa"/>
            <w:shd w:val="clear" w:color="auto" w:fill="auto"/>
          </w:tcPr>
          <w:p w14:paraId="7A30DCCC"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Type information</w:t>
            </w:r>
          </w:p>
        </w:tc>
        <w:tc>
          <w:tcPr>
            <w:tcW w:w="4774" w:type="dxa"/>
          </w:tcPr>
          <w:p w14:paraId="3F938787" w14:textId="77777777" w:rsidR="0024372F" w:rsidRPr="004251DA" w:rsidRDefault="0024372F" w:rsidP="0024372F">
            <w:pPr>
              <w:spacing w:after="0" w:line="240" w:lineRule="auto"/>
              <w:jc w:val="both"/>
              <w:rPr>
                <w:rFonts w:cs="Times New Roman"/>
                <w:sz w:val="20"/>
                <w:szCs w:val="20"/>
              </w:rPr>
            </w:pPr>
            <w:r w:rsidRPr="004251DA">
              <w:rPr>
                <w:rFonts w:cs="Times New Roman"/>
                <w:sz w:val="20"/>
                <w:szCs w:val="20"/>
              </w:rPr>
              <w:t>Point</w:t>
            </w:r>
          </w:p>
        </w:tc>
      </w:tr>
    </w:tbl>
    <w:p w14:paraId="6E6E69FA" w14:textId="77777777" w:rsidR="0024372F" w:rsidRPr="0024372F" w:rsidRDefault="0024372F" w:rsidP="0024372F">
      <w:pPr>
        <w:spacing w:after="0" w:line="240" w:lineRule="auto"/>
        <w:jc w:val="both"/>
        <w:rPr>
          <w:rFonts w:cs="Times New Roman"/>
          <w:sz w:val="24"/>
          <w:szCs w:val="24"/>
        </w:rPr>
      </w:pPr>
    </w:p>
    <w:p w14:paraId="1CE48FE3" w14:textId="77777777" w:rsidR="0024372F" w:rsidRPr="0024372F" w:rsidRDefault="0024372F" w:rsidP="0024372F">
      <w:pPr>
        <w:spacing w:after="0" w:line="240" w:lineRule="auto"/>
        <w:jc w:val="both"/>
        <w:rPr>
          <w:rFonts w:cs="Times New Roman"/>
          <w:b/>
          <w:bCs/>
          <w:sz w:val="24"/>
          <w:szCs w:val="24"/>
        </w:rPr>
      </w:pPr>
      <w:r w:rsidRPr="0024372F">
        <w:rPr>
          <w:rFonts w:cs="Times New Roman"/>
          <w:b/>
          <w:bCs/>
          <w:sz w:val="24"/>
          <w:szCs w:val="24"/>
        </w:rPr>
        <w:t xml:space="preserve">3. Solution Method and Algorithm </w:t>
      </w:r>
    </w:p>
    <w:p w14:paraId="0770B8E2" w14:textId="77777777" w:rsidR="0024372F" w:rsidRPr="0024372F" w:rsidRDefault="0024372F" w:rsidP="0024372F">
      <w:pPr>
        <w:spacing w:after="0" w:line="240" w:lineRule="auto"/>
        <w:jc w:val="both"/>
        <w:rPr>
          <w:rFonts w:cs="Times New Roman"/>
          <w:sz w:val="24"/>
          <w:szCs w:val="24"/>
        </w:rPr>
      </w:pPr>
    </w:p>
    <w:p w14:paraId="0A71592C" w14:textId="1E928001" w:rsidR="0024372F" w:rsidRPr="0024372F" w:rsidRDefault="0024372F" w:rsidP="002027A9">
      <w:pPr>
        <w:pStyle w:val="A"/>
      </w:pPr>
      <w:r w:rsidRPr="0024372F">
        <w:t>Based on the holistic scheme of the proposed technique depicted in Fig</w:t>
      </w:r>
      <w:r w:rsidR="00312EC0">
        <w:t xml:space="preserve">ure </w:t>
      </w:r>
      <w:r w:rsidRPr="0024372F">
        <w:t xml:space="preserve">4, the preliminary process comprises the following operation. Radiometric and atmospheric corrections and co-registration were applied during pre-processing to rectify the data. In order to conduct a more comprehensive analysis of vegetation, eight spectral indices were used. Each indication assists an archaeology detection analysis in its unique way, as in Table 3. Each indicator uses a different set of algorithms and constraints to expose different characteristics of the vegetation. Eight different groups of wavelength ranges were evaluated based on the spectral reflectance analysis results. These included the Archaeological Index (AI) </w:t>
      </w:r>
      <w:r w:rsidRPr="0024372F">
        <w:fldChar w:fldCharType="begin" w:fldLock="1"/>
      </w:r>
      <w:r w:rsidRPr="0024372F">
        <w:instrText>ADDIN CSL_CITATION {"citationItems":[{"id":"ITEM-1","itemData":{"author":[{"dropping-particle":"","family":"Agapiou","given":"Athos","non-dropping-particle":"","parse-names":false,"suffix":""},{"dropping-particle":"","family":"Hadjimitsis","given":"Diofantos G","non-dropping-particle":"","parse-names":false,"suffix":""},{"dropping-particle":"","family":"Georgopoulos","given":"Andreas","non-dropping-particle":"","parse-names":false,"suffix":""}],"id":"ITEM-1","issued":{"date-parts":[["0"]]},"title":"Towards an Archaeological Index : Identification of the Spectral Regions of Stress Vegetation due to Buried Archaeological Remains","type":"article-journal"},"uris":["http://www.mendeley.com/documents/?uuid=9b32d858-23ed-4d68-9d50-3354836ec626"]}],"mendeley":{"formattedCitation":"[36]","manualFormatting":"[38]","plainTextFormattedCitation":"[36]","previouslyFormattedCitation":"[37]"},"properties":{"noteIndex":0},"schema":"https://github.com/citation-style-language/schema/raw/master/csl-citation.json"}</w:instrText>
      </w:r>
      <w:r w:rsidRPr="0024372F">
        <w:fldChar w:fldCharType="separate"/>
      </w:r>
      <w:r w:rsidRPr="0024372F">
        <w:t>[38]</w:t>
      </w:r>
      <w:r w:rsidRPr="0024372F">
        <w:rPr>
          <w:lang w:val="en-US"/>
        </w:rPr>
        <w:fldChar w:fldCharType="end"/>
      </w:r>
      <w:r w:rsidRPr="0024372F">
        <w:t xml:space="preserve">, a Proposed Spectral 1 (PS-1), Proposed Spectral 2 (PS-2), and Proposed Spectral 3 (PS-3), additional spectral of ancient properties such as Iron, Granite, and </w:t>
      </w:r>
      <w:r w:rsidRPr="0024372F">
        <w:lastRenderedPageBreak/>
        <w:t xml:space="preserve">Brick </w:t>
      </w:r>
      <w:r w:rsidRPr="0024372F">
        <w:fldChar w:fldCharType="begin" w:fldLock="1"/>
      </w:r>
      <w:r w:rsidRPr="0024372F">
        <w:instrText>ADDIN CSL_CITATION {"citationItems":[{"id":"ITEM-1","itemData":{"author":[{"dropping-particle":"","family":"Shairatul Akma Roslan;Norzailawati Mohd Noor; Alias Abdullah: Zuraini Md Ali","given":"","non-dropping-particle":"","parse-names":false,"suffix":""}],"container-title":"Journal of the Malaysian Institute of Planners","id":"ITEM-1","issued":{"date-parts":[["2016"]]},"page":"315-328","title":"analysis of shrines propertis using remote sensing approach MIP","type":"article-journal","volume":"Special Is"},"uris":["http://www.mendeley.com/documents/?uuid=41c2dac9-392a-38df-834a-7a3e205bbca5"]}],"mendeley":{"formattedCitation":"[37]","manualFormatting":"[39]","plainTextFormattedCitation":"[37]","previouslyFormattedCitation":"[38]"},"properties":{"noteIndex":0},"schema":"https://github.com/citation-style-language/schema/raw/master/csl-citation.json"}</w:instrText>
      </w:r>
      <w:r w:rsidRPr="0024372F">
        <w:fldChar w:fldCharType="separate"/>
      </w:r>
      <w:r w:rsidRPr="0024372F">
        <w:t>[39]</w:t>
      </w:r>
      <w:r w:rsidRPr="0024372F">
        <w:rPr>
          <w:lang w:val="en-US"/>
        </w:rPr>
        <w:fldChar w:fldCharType="end"/>
      </w:r>
      <w:r w:rsidRPr="0024372F">
        <w:t xml:space="preserve">, as well as wavelengths Spectral studied by Sarris </w:t>
      </w:r>
      <w:r w:rsidRPr="0024372F">
        <w:fldChar w:fldCharType="begin" w:fldLock="1"/>
      </w:r>
      <w:r w:rsidRPr="0024372F">
        <w:instrText>ADDIN CSL_CITATION {"citationItems":[{"id":"ITEM-1","itemData":{"DOI":"10.1016/j.jas.2012.11.001","ISSN":"10959238","abstract":"An integration of geophysical surveys, ground hyperspectral data, aerial photographs and high resolution satellite imagery for supporting archaeological investigations at the multi-component Vészto{doubleacute}-Mágor Tell, located in the southeastern Great Hungarian Plain, is presented in this study. This is one of the first times that all these techniques have been combined and evaluated for retrieving archaeological information. Geophysical explorations, specifically magnetic gradiometry and ground penetrating radar methods, have revealed shallow linear anomalies and curvilinear rings at the Tell. The use of remote sensing images has confirmed the diverse anomalies with respect to geophysics through photointerpretation, radiometric and spatial enhancements. Moreover, several indices from ground hyperspectral data also have revealed stress vegetation anomalies. These integrated results were used to map the main areas of archaeological interest at the Vészto{doubleacute}-Mágor Tell and plan future excavations. It was found that these multiscalar data can be used efficiently for detecting buried archaeological features. © 2012 Elsevier Ltd.","author":[{"dropping-particle":"","family":"Sarris","given":"Apostolos","non-dropping-particle":"","parse-names":false,"suffix":""},{"dropping-particle":"","family":"Papadopoulos","given":"Nikos","non-dropping-particle":"","parse-names":false,"suffix":""},{"dropping-particle":"","family":"Agapiou","given":"Athos","non-dropping-particle":"","parse-names":false,"suffix":""},{"dropping-particle":"","family":"Salvi","given":"Maria Cristina","non-dropping-particle":"","parse-names":false,"suffix":""},{"dropping-particle":"","family":"Hadjimitsis","given":"Diofantos G.","non-dropping-particle":"","parse-names":false,"suffix":""},{"dropping-particle":"","family":"Parkinson","given":"William A.","non-dropping-particle":"","parse-names":false,"suffix":""},{"dropping-particle":"","family":"Yerkes","given":"Richard W.","non-dropping-particle":"","parse-names":false,"suffix":""},{"dropping-particle":"","family":"Gyucha","given":"Attila","non-dropping-particle":"","parse-names":false,"suffix":""},{"dropping-particle":"","family":"Duffy","given":"Paul R.","non-dropping-particle":"","parse-names":false,"suffix":""}],"container-title":"Journal of Archaeological Science","id":"ITEM-1","issue":"3","issued":{"date-parts":[["2013"]]},"page":"1454-1470","publisher":"Elsevier Ltd","title":"Integration of geophysical surveys, ground hyperspectral measurements, aerial and satellite imagery for archaeological prospection of prehistoric sites: The case study of Vészto{doubleacute}-Mágor Tell, Hungary","type":"article-journal","volume":"40"},"uris":["http://www.mendeley.com/documents/?uuid=8dbfb06d-d3ff-418b-8166-d940c3297202"]}],"mendeley":{"formattedCitation":"[13]","plainTextFormattedCitation":"[13]","previouslyFormattedCitation":"[13]"},"properties":{"noteIndex":0},"schema":"https://github.com/citation-style-language/schema/raw/master/csl-citation.json"}</w:instrText>
      </w:r>
      <w:r w:rsidRPr="0024372F">
        <w:fldChar w:fldCharType="separate"/>
      </w:r>
      <w:r w:rsidRPr="0024372F">
        <w:t>[13]</w:t>
      </w:r>
      <w:r w:rsidRPr="0024372F">
        <w:rPr>
          <w:lang w:val="en-US"/>
        </w:rPr>
        <w:fldChar w:fldCharType="end"/>
      </w:r>
      <w:r w:rsidRPr="0024372F">
        <w:t xml:space="preserve">. These bands were determined to be optimal for plant growth by measuring their reflectance across a broad spectrum </w:t>
      </w:r>
      <w:r w:rsidRPr="0024372F">
        <w:fldChar w:fldCharType="begin" w:fldLock="1"/>
      </w:r>
      <w:r w:rsidRPr="0024372F">
        <w:instrText>ADDIN CSL_CITATION {"citationItems":[{"id":"ITEM-1","itemData":{"DOI":"10.3390/rs8110918","ISSN":"20724292","abstract":"Aerial reconnaissance continues to be a vital tool for landscape-oriented archaeological research. Although a variety of remote sensing platforms operate within the earth's atmosphere, the majority of aerial archaeological information is still derived from oblique photographs collected during observer-directed reconnaissance flights, a prospection approach which has dominated archaeological aerial survey for the past century. The resulting highly biased imagery is generally catalogued in sub-optimal (spatial) databases, if at all, after which a small selection of images is orthorectified and interpreted. For decades, this has been the standard approach. Although many innovations, including digital cameras, inertial units, photogrammetry and computer vision algorithms, geographic(al) information systems and computing power have emerged, their potential has not yet been fully exploited in order to re-invent and highly optimise this crucial branch of landscape archaeology. The authors argue that a fundamental change is needed to transform the way aerial archaeologists approach data acquisition and image processing. By addressing the very core concepts of geographically biased aerial archaeological photographs and proposing new imaging technologies, data handling methods and processing procedures, this paper gives a personal opinion on how the methodological components of aerial archaeology, and specifically aerial archaeological photography, should evolve during the next decade if developing a more reliable record of our past is to be our central aim. In this paper, a possible practical solution is illustrated by outlining a turnkey aerial prospection system for total coverage survey together with a semi-automated back-end pipeline that takes care of photograph correction and image enhancement as well as the management and interpretative mapping of the resulting data products. In this way, the proposed system addresses one of many bias issues in archaeological research: the bias we impart to the visual record as a result of selective coverage. While the total coverage approach outlined here may not altogether eliminate survey bias, it can vastly increase the amount of useful information captured during a single reconnaissance flight while mitigating the discriminating effects of observer-based, on-the-fly target selection. Furthermore, the information contained in this paper should make it clear that with current technology it is feasible to do so. This ca…","author":[{"dropping-particle":"","family":"Verhoeven","given":"Geert","non-dropping-particle":"","parse-names":false,"suffix":""},{"dropping-particle":"","family":"Sevara","given":"Christopher","non-dropping-particle":"","parse-names":false,"suffix":""}],"container-title":"Remote Sensing","id":"ITEM-1","issue":"11","issued":{"date-parts":[["2016"]]},"title":"Trying to break new ground in aerial archaeology","type":"article-journal","volume":"8"},"uris":["http://www.mendeley.com/documents/?uuid=8458971f-d053-4304-9821-9d8d7ad26681"]},{"id":"ITEM-2","itemData":{"DOI":"10.1002/arp","author":[{"dropping-particle":"","family":"Verhoeven","given":"Geert","non-dropping-particle":"","parse-names":false,"suffix":""},{"dropping-particle":"","family":"Doneus","given":"Michael","non-dropping-particle":"","parse-names":false,"suffix":""}],"id":"ITEM-2","issue":"August","issued":{"date-parts":[["2011"]]},"page":"267-278","title":"Balancing on the Borderline – a Low-cost Approach to Visualize the Red-edge Shift for the Bene fi t of Aerial Archaeology","type":"article-journal","volume":"278"},"uris":["http://www.mendeley.com/documents/?uuid=54c5bf05-2258-4df7-b441-6f7effc0675b"]},{"id":"ITEM-3","itemData":{"abstract":"Remarkably similar results have been reported in a number of studies that evaluated patterns of change in leaf reflectance spectra within the 400–850 nm wavelength range that occur with plant physiological stress. A variety of stressors have been imposed on species ranging from grasses to conifers and deciduous trees. In all cases, the maximum difference between control and stressed states occurred as a reflectance increase near 700 nm. This common response near 700 nm, as well as correspondingly increased reflectance in the green-yellow spectrum, are explained by the tendency of stress to reduce leaf chlorophyll concentration and by the in vivo absorption properties of chlorophyll. To determine the extent to which stress-induced changes in the reflectance of stressed vegetation at the landscape scale may be similar to those observed commonly for individual leaves, a row crop of corn was exposed to various levels of N fertilization, and canopy reflectances were measured using AVIRIS imagery. Changes in corn canopy reflectance with N deficiency were spectrally similar to the commonly observed leaf reflectance responses to stress, with maximum reflectance differences between N-deficient and control plots at 730 nm. Only far-red reflectance increased significantly (P=0.05) with relatively mild N deficiency, but reflectance in the green and far-red spectra correlated equally well with field estimates of leaf chlorophyll and laboratory measurements of leaf N concentration. A complete lack of N fertilizer increased reflectance significantly in both the green and far-red spectra and decreased reflectance in the near-infrared. Additionally, short-term water stress caused changes in corn canopy reflectance that differed from the responses to N deficiency, altering reflectance substantially only in the near-infrared, where it increased by as much as 2.5 percent. Consequently, remote sensing may be used not only to detect plant stress in monoculture stands but also to predict its cause.","author":[{"dropping-particle":"","family":"Carter","given":"Gregory A","non-dropping-particle":"","parse-names":false,"suffix":""},{"dropping-particle":"","family":"Estep","given":"Lee","non-dropping-particle":"","parse-names":false,"suffix":""}],"container-title":"Laboratory Spectroscopy to Remotely Sensed Spectra of Terrestrial Ecosystems","id":"ITEM-3","issued":{"date-parts":[["2002"]]},"page":"271-293","title":"Chapter 12 GENERAL SPECTRAL CHARACTERISTICS OF LEAF REFLECTANCE RESPONSES TO PLANT STRESS AND THEIR MANIFESTATION AT THE LANDSCAPE SCALE","type":"article-journal"},"uris":["http://www.mendeley.com/documents/?uuid=437f1cc1-b74d-425d-92d2-4cb837f0345f"]},{"id":"ITEM-4","itemData":{"DOI":"10.2134/agronj2006.0370c","ISSN":"00021962","abstract":"Remote sensing has provided valuable insights into agronomic management over the past 40 yr. The contributions of individuals to remote sensing methods have lead to understanding of how leaf reflectance and leaf emittance changes in response to leaf thickness, species, canopy shape, leaf age, nutrient status, and water status. Leaf chlorophyll and the preferential absorption at different wavelengths provides the basis for utilizing reflectance with either broad-band radiometers typical of current satellite platforms or hyperspectral sensors that measure reflectance at narrow wavebands. Understanding of leaf reflectance has lead to various vegetative indices for crop canopies to quantify various agronomic parameters, e.g., leaf area, crop cover, biomass, crop type, nutrient status, and yield. Emittance from crop canopies is a measure of leaf temperature and infrared thermometers have fostered crop stress indices currently used to quantify water requirements. These tools are being developed as we learn how to use the information provided in reflectance and emittance measurements with a range of sensors. Remote sensing continues to evolve as a valuable agronomic tool that provides information to scientists, consultants, and producers about the status of their crops. This area is still relatively new compared with other agronomic fields; however, the information content is providing valuable insights into improved management decisions. This article details the current status of our understanding of how reflectance and emittance have been used to quantitatively assess agronomic parameters and some of the challenges facing future generations of scientists seeking to further advance remote sensing for agronomic applications. Copyright © 2008 by the American Society of Agronomy. All rights reserved.","author":[{"dropping-particle":"","family":"Hatfield","given":"J. L.","non-dropping-particle":"","parse-names":false,"suffix":""},{"dropping-particle":"","family":"Gitelson","given":"A. A.","non-dropping-particle":"","parse-names":false,"suffix":""},{"dropping-particle":"","family":"Schepers","given":"J. S.","non-dropping-particle":"","parse-names":false,"suffix":""},{"dropping-particle":"","family":"Walthall","given":"C. L.","non-dropping-particle":"","parse-names":false,"suffix":""}],"container-title":"Agronomy Journal","id":"ITEM-4","issue":"3 SUPPL.","issued":{"date-parts":[["2008"]]},"title":"Application of spectral remote sensing for agronomic decisions","type":"article-journal","volume":"100"},"uris":["http://www.mendeley.com/documents/?uuid=08a8afcc-3f10-41ff-b2d2-22f180c0a2b1"]}],"mendeley":{"formattedCitation":"[26, 38–40]","manualFormatting":"[26], [40]–[41]","plainTextFormattedCitation":"[26, 38–40]","previouslyFormattedCitation":"[26, 39–41]"},"properties":{"noteIndex":0},"schema":"https://github.com/citation-style-language/schema/raw/master/csl-citation.json"}</w:instrText>
      </w:r>
      <w:r w:rsidRPr="0024372F">
        <w:fldChar w:fldCharType="separate"/>
      </w:r>
      <w:r w:rsidRPr="0024372F">
        <w:t>[26</w:t>
      </w:r>
      <w:r w:rsidR="004251DA">
        <w:t>,</w:t>
      </w:r>
      <w:r w:rsidRPr="0024372F">
        <w:t>40</w:t>
      </w:r>
      <w:r w:rsidR="004251DA">
        <w:t>,4</w:t>
      </w:r>
      <w:r w:rsidRPr="0024372F">
        <w:t>1]</w:t>
      </w:r>
      <w:r w:rsidRPr="0024372F">
        <w:rPr>
          <w:lang w:val="en-US"/>
        </w:rPr>
        <w:fldChar w:fldCharType="end"/>
      </w:r>
      <w:r w:rsidRPr="0024372F">
        <w:t xml:space="preserve">. Measurements of Red and Near-Infrared reflectance are the basis for most Vegetation Index (VI) algorithms. Other indices' algorithms, such as GNDVI and EVI, use a Green and/or Blue color wavelength that is both an element of the spectrum and very Near-Infrared (NIR) </w:t>
      </w:r>
      <w:r w:rsidRPr="0024372F">
        <w:fldChar w:fldCharType="begin" w:fldLock="1"/>
      </w:r>
      <w:r w:rsidRPr="0024372F">
        <w:instrText>ADDIN CSL_CITATION {"citationItems":[{"id":"ITEM-1","itemData":{"author":[{"dropping-particle":"","family":"Anatoly A. GItelson and Mark N.Merzlyak","given":"","non-dropping-particle":"","parse-names":false,"suffix":""}],"container-title":"Journal Plant Physical Vol.148","id":"ITEM-1","issued":{"date-parts":[["1996"]]},"page":"494-500","title":"Signature Analysis of Leaf Reflectance Spectra : Algorithm Development for Remote Sensing of Chlorophyll","type":"article-journal","volume":"148"},"uris":["http://www.mendeley.com/documents/?uuid=5d95affd-72fc-44c9-8f74-0814c0445405"]},{"id":"ITEM-2","itemData":{"DOI":"10.3174/ajnr.A2596","ISSN":"0195-6108","abstract":"BACKGROUND AND PURPOSE: A common task in radiology interpretation is\nvisual comparison of images. The purpose of this study was to compare\ntraditional side-by-side and in-place (flicker) image presentation modes\nwith advanced methods for detecting primary brain tumors on MR imaging.\nMATERIALS AND METHODS: We identified 66 patients with gliomas and 3\nconsecutive brain MR imaging examinations (a ``triplet{''}). A display\napplication that presented images in side-by-side mode with or without\nflicker display as well as display of image subtraction or automated\nchange detection information (also with and without flicker display) was\nused by 3 board-certified neuroradiologists. They identified regions of\nbrain tumor progression by using this display application. Each case was\nreviewed using all modes (side-by-side presentation with and without\nflicker, subtraction with and without flicker, and change detection with\nand without flicker), with results compared via a panel rating.\nRESULTS: Automated change detection with or without flicker (P &lt; .0027)\nas well as subtraction with or without flicker (P &lt; .0027) were more\nsensitive to tumor progression than side-by-side presentation in cases\nwhere all 3 raters agreed. Change detection afforded the highest\ninterrater agreement, followed by subtraction. Clinically determined\ntime to progression was longer for cases rated as nonprogressing by\nusing subtraction images and change-detection images both with and\nwithout flicker display mode compared with side-by-side presentation.\nCONCLUSIONS: Automated change detection and image subtraction, with and\nwithout flicker display mode, are superior to side-by-side image\ncomparison.","author":[{"dropping-particle":"","family":"Erickson","given":"B J","non-dropping-particle":"","parse-names":false,"suffix":""},{"dropping-particle":"","family":"Wood","given":"C P","non-dropping-particle":"","parse-names":false,"suffix":""},{"dropping-particle":"","family":"Kaufmann","given":"T J","non-dropping-particle":"","parse-names":false,"suffix":""},{"dropping-particle":"","family":"Patriarche","given":"J W","non-dropping-particle":"","parse-names":false,"suffix":""},{"dropping-particle":"","family":"Mandrekar","given":"J","non-dropping-particle":"","parse-names":false,"suffix":""}],"container-title":"AMERICAN JOURNAL OF NEURORADIOLOGY","id":"ITEM-2","issue":"9","issued":{"date-parts":[["2011","10"]]},"page":"1652-1657","title":"Optimal Presentation Modes for Detecting Brain Tumor Progression","type":"article-journal","volume":"32"},"uris":["http://www.mendeley.com/documents/?uuid=bc842bb8-7943-4a89-9ae3-206a806619ad"]},{"id":"ITEM-3","itemData":{"DOI":"10.1016/j.patcog.2004.03.001","ISSN":"00313203","abstract":"A new object-oriented segmentation approach with special focus on shape analysis was developed for the extraction of large, man-made objects, especially agricultural fields, in high-resolution panchromatic satellite imagery. The approach, a combination of region- and edge-based techniques, includes new methods for the evaluation of straight edges, edge preserving degradation, and edge-guided region growing. © 2004 Pattern Recognition Society. Published by Elsevier Ltd. All rights reserved.","author":[{"dropping-particle":"","family":"Mueller","given":"Marina","non-dropping-particle":"","parse-names":false,"suffix":""},{"dropping-particle":"","family":"Segl","given":"Karl","non-dropping-particle":"","parse-names":false,"suffix":""},{"dropping-particle":"","family":"Kaufmann","given":"Hermann","non-dropping-particle":"","parse-names":false,"suffix":""}],"container-title":"Pattern Recognition","id":"ITEM-3","issue":"8","issued":{"date-parts":[["2004"]]},"page":"1619-1628","title":"Edge- and region-based segmentation technique for the extraction of large, man-made objects in high-resolution satellite imagery","type":"article-journal","volume":"37"},"uris":["http://www.mendeley.com/documents/?uuid=09f2c801-7ee4-43b1-9649-9811438d33b3"]}],"mendeley":{"formattedCitation":"[41–43]","manualFormatting":"[42]–[44]","plainTextFormattedCitation":"[41–43]","previouslyFormattedCitation":"[42–44]"},"properties":{"noteIndex":0},"schema":"https://github.com/citation-style-language/schema/raw/master/csl-citation.json"}</w:instrText>
      </w:r>
      <w:r w:rsidRPr="0024372F">
        <w:fldChar w:fldCharType="separate"/>
      </w:r>
      <w:r w:rsidRPr="0024372F">
        <w:t>[42</w:t>
      </w:r>
      <w:r w:rsidR="004251DA">
        <w:t>,</w:t>
      </w:r>
      <w:r w:rsidRPr="0024372F">
        <w:t>43]</w:t>
      </w:r>
      <w:r w:rsidRPr="0024372F">
        <w:rPr>
          <w:lang w:val="en-US"/>
        </w:rPr>
        <w:fldChar w:fldCharType="end"/>
      </w:r>
      <w:r w:rsidRPr="0024372F">
        <w:t>. This is in contrast to what was mentioned previously.</w:t>
      </w:r>
      <w:r w:rsidRPr="0024372F">
        <w:tab/>
      </w:r>
    </w:p>
    <w:p w14:paraId="3976A0C3" w14:textId="77777777" w:rsidR="0024372F" w:rsidRPr="0024372F" w:rsidRDefault="0024372F" w:rsidP="0024372F">
      <w:pPr>
        <w:spacing w:after="0" w:line="240" w:lineRule="auto"/>
        <w:jc w:val="both"/>
        <w:rPr>
          <w:rFonts w:cs="Times New Roman"/>
          <w:sz w:val="24"/>
          <w:szCs w:val="24"/>
        </w:rPr>
      </w:pPr>
    </w:p>
    <w:p w14:paraId="17022006" w14:textId="50E79864" w:rsidR="0024372F" w:rsidRPr="0024372F" w:rsidRDefault="0024372F" w:rsidP="004251DA">
      <w:pPr>
        <w:spacing w:after="0" w:line="240" w:lineRule="auto"/>
        <w:jc w:val="center"/>
        <w:rPr>
          <w:rFonts w:cs="Times New Roman"/>
          <w:sz w:val="24"/>
          <w:szCs w:val="24"/>
          <w:lang w:val="en-US"/>
        </w:rPr>
      </w:pPr>
      <w:r w:rsidRPr="0024372F">
        <w:rPr>
          <w:rFonts w:cs="Times New Roman"/>
          <w:noProof/>
          <w:sz w:val="24"/>
          <w:szCs w:val="24"/>
        </w:rPr>
        <mc:AlternateContent>
          <mc:Choice Requires="wps">
            <w:drawing>
              <wp:anchor distT="0" distB="0" distL="114300" distR="114300" simplePos="0" relativeHeight="251664384" behindDoc="0" locked="0" layoutInCell="1" allowOverlap="1" wp14:anchorId="50B49E25" wp14:editId="3C23C630">
                <wp:simplePos x="0" y="0"/>
                <wp:positionH relativeFrom="column">
                  <wp:posOffset>4862195</wp:posOffset>
                </wp:positionH>
                <wp:positionV relativeFrom="paragraph">
                  <wp:posOffset>2271395</wp:posOffset>
                </wp:positionV>
                <wp:extent cx="0" cy="70485"/>
                <wp:effectExtent l="0" t="0" r="38100" b="24765"/>
                <wp:wrapNone/>
                <wp:docPr id="13" name="Straight Connector 13"/>
                <wp:cNvGraphicFramePr/>
                <a:graphic xmlns:a="http://schemas.openxmlformats.org/drawingml/2006/main">
                  <a:graphicData uri="http://schemas.microsoft.com/office/word/2010/wordprocessingShape">
                    <wps:wsp>
                      <wps:cNvCnPr/>
                      <wps:spPr>
                        <a:xfrm>
                          <a:off x="0" y="0"/>
                          <a:ext cx="0" cy="70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E6F4D"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82.85pt,178.85pt" to="382.85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" strokecolor="#4579b8 [3044]"/>
            </w:pict>
          </mc:Fallback>
        </mc:AlternateContent>
      </w:r>
      <w:r w:rsidRPr="0024372F">
        <w:rPr>
          <w:rFonts w:cs="Times New Roman"/>
          <w:noProof/>
          <w:sz w:val="24"/>
          <w:szCs w:val="24"/>
        </w:rPr>
        <mc:AlternateContent>
          <mc:Choice Requires="wps">
            <w:drawing>
              <wp:anchor distT="0" distB="0" distL="114300" distR="114300" simplePos="0" relativeHeight="251662336" behindDoc="0" locked="0" layoutInCell="1" allowOverlap="1" wp14:anchorId="4376E39F" wp14:editId="43072FD7">
                <wp:simplePos x="0" y="0"/>
                <wp:positionH relativeFrom="column">
                  <wp:posOffset>4072890</wp:posOffset>
                </wp:positionH>
                <wp:positionV relativeFrom="paragraph">
                  <wp:posOffset>551180</wp:posOffset>
                </wp:positionV>
                <wp:extent cx="0" cy="108585"/>
                <wp:effectExtent l="0" t="0" r="38100" b="24765"/>
                <wp:wrapNone/>
                <wp:docPr id="11" name="Straight Connector 11"/>
                <wp:cNvGraphicFramePr/>
                <a:graphic xmlns:a="http://schemas.openxmlformats.org/drawingml/2006/main">
                  <a:graphicData uri="http://schemas.microsoft.com/office/word/2010/wordprocessingShape">
                    <wps:wsp>
                      <wps:cNvCnPr/>
                      <wps:spPr>
                        <a:xfrm>
                          <a:off x="0" y="0"/>
                          <a:ext cx="0" cy="1085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7B7D2"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0.7pt,43.4pt" to="320.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" strokecolor="#4579b8 [3044]"/>
            </w:pict>
          </mc:Fallback>
        </mc:AlternateContent>
      </w:r>
      <w:r w:rsidRPr="0024372F">
        <w:rPr>
          <w:rFonts w:cs="Times New Roman"/>
          <w:noProof/>
          <w:sz w:val="24"/>
          <w:szCs w:val="24"/>
        </w:rPr>
        <mc:AlternateContent>
          <mc:Choice Requires="wps">
            <w:drawing>
              <wp:anchor distT="0" distB="0" distL="114300" distR="114300" simplePos="0" relativeHeight="251663360" behindDoc="0" locked="0" layoutInCell="1" allowOverlap="1" wp14:anchorId="05C32639" wp14:editId="2A9E0764">
                <wp:simplePos x="0" y="0"/>
                <wp:positionH relativeFrom="column">
                  <wp:posOffset>3145971</wp:posOffset>
                </wp:positionH>
                <wp:positionV relativeFrom="paragraph">
                  <wp:posOffset>2288449</wp:posOffset>
                </wp:positionV>
                <wp:extent cx="0" cy="38100"/>
                <wp:effectExtent l="0" t="0" r="38100" b="19050"/>
                <wp:wrapNone/>
                <wp:docPr id="12" name="Straight Connector 12"/>
                <wp:cNvGraphicFramePr/>
                <a:graphic xmlns:a="http://schemas.openxmlformats.org/drawingml/2006/main">
                  <a:graphicData uri="http://schemas.microsoft.com/office/word/2010/wordprocessingShape">
                    <wps:wsp>
                      <wps:cNvCnPr/>
                      <wps:spPr>
                        <a:xfrm>
                          <a:off x="0" y="0"/>
                          <a:ext cx="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C7146" id="Straight Connector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7.7pt,180.2pt" to="247.7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" strokecolor="#4579b8 [3044]"/>
            </w:pict>
          </mc:Fallback>
        </mc:AlternateContent>
      </w:r>
      <w:r w:rsidRPr="0024372F">
        <w:rPr>
          <w:rFonts w:cs="Times New Roman"/>
          <w:noProof/>
          <w:sz w:val="24"/>
          <w:szCs w:val="24"/>
        </w:rPr>
        <mc:AlternateContent>
          <mc:Choice Requires="wps">
            <w:drawing>
              <wp:anchor distT="0" distB="0" distL="114300" distR="114300" simplePos="0" relativeHeight="251661312" behindDoc="0" locked="0" layoutInCell="1" allowOverlap="1" wp14:anchorId="0B8E4107" wp14:editId="6B6157C5">
                <wp:simplePos x="0" y="0"/>
                <wp:positionH relativeFrom="column">
                  <wp:posOffset>4474029</wp:posOffset>
                </wp:positionH>
                <wp:positionV relativeFrom="paragraph">
                  <wp:posOffset>824321</wp:posOffset>
                </wp:positionV>
                <wp:extent cx="371021" cy="360218"/>
                <wp:effectExtent l="57150" t="19050" r="105410" b="116205"/>
                <wp:wrapNone/>
                <wp:docPr id="10" name="Connector: Elbow 10"/>
                <wp:cNvGraphicFramePr/>
                <a:graphic xmlns:a="http://schemas.openxmlformats.org/drawingml/2006/main">
                  <a:graphicData uri="http://schemas.microsoft.com/office/word/2010/wordprocessingShape">
                    <wps:wsp>
                      <wps:cNvCnPr/>
                      <wps:spPr>
                        <a:xfrm>
                          <a:off x="0" y="0"/>
                          <a:ext cx="371021" cy="360218"/>
                        </a:xfrm>
                        <a:prstGeom prst="bentConnector3">
                          <a:avLst>
                            <a:gd name="adj1" fmla="val 100025"/>
                          </a:avLst>
                        </a:prstGeom>
                        <a:ln w="19050">
                          <a:tailEnd type="triangle"/>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D9F4F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352.3pt;margin-top:64.9pt;width:29.2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" adj="21605" strokecolor="#4579b8 [3044]" strokeweight="1.5pt">
                <v:stroke endarrow="block"/>
                <v:shadow on="t" color="black" opacity="26214f" origin=",-.5" offset="0,3pt"/>
              </v:shape>
            </w:pict>
          </mc:Fallback>
        </mc:AlternateContent>
      </w:r>
      <w:r w:rsidRPr="0024372F">
        <w:rPr>
          <w:rFonts w:cs="Times New Roman"/>
          <w:noProof/>
          <w:sz w:val="24"/>
          <w:szCs w:val="24"/>
        </w:rPr>
        <w:drawing>
          <wp:inline distT="0" distB="0" distL="0" distR="0" wp14:anchorId="1071238B" wp14:editId="5F6D5274">
            <wp:extent cx="4959115"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1">
                      <a:extLst>
                        <a:ext uri="{28A0092B-C50C-407E-A947-70E740481C1C}">
                          <a14:useLocalDpi xmlns:a14="http://schemas.microsoft.com/office/drawing/2010/main" val="0"/>
                        </a:ext>
                      </a:extLst>
                    </a:blip>
                    <a:srcRect t="23156"/>
                    <a:stretch/>
                  </pic:blipFill>
                  <pic:spPr bwMode="auto">
                    <a:xfrm>
                      <a:off x="0" y="0"/>
                      <a:ext cx="4978415" cy="2945117"/>
                    </a:xfrm>
                    <a:prstGeom prst="rect">
                      <a:avLst/>
                    </a:prstGeom>
                    <a:noFill/>
                    <a:ln>
                      <a:noFill/>
                    </a:ln>
                    <a:extLst>
                      <a:ext uri="{53640926-AAD7-44D8-BBD7-CCE9431645EC}">
                        <a14:shadowObscured xmlns:a14="http://schemas.microsoft.com/office/drawing/2010/main"/>
                      </a:ext>
                    </a:extLst>
                  </pic:spPr>
                </pic:pic>
              </a:graphicData>
            </a:graphic>
          </wp:inline>
        </w:drawing>
      </w:r>
    </w:p>
    <w:p w14:paraId="47934F16" w14:textId="45FCD948" w:rsidR="0024372F" w:rsidRPr="004251DA" w:rsidRDefault="0024372F" w:rsidP="004251DA">
      <w:pPr>
        <w:spacing w:after="0" w:line="240" w:lineRule="auto"/>
        <w:ind w:left="1080" w:right="1016"/>
        <w:jc w:val="both"/>
        <w:rPr>
          <w:rFonts w:cs="Times New Roman"/>
        </w:rPr>
      </w:pPr>
      <w:r w:rsidRPr="004251DA">
        <w:rPr>
          <w:rFonts w:cs="Times New Roman"/>
          <w:b/>
          <w:bCs/>
        </w:rPr>
        <w:t>Fig.</w:t>
      </w:r>
      <w:r w:rsidR="004251DA" w:rsidRPr="004251DA">
        <w:rPr>
          <w:rFonts w:cs="Times New Roman"/>
          <w:b/>
          <w:bCs/>
        </w:rPr>
        <w:t xml:space="preserve"> </w:t>
      </w:r>
      <w:r w:rsidRPr="004251DA">
        <w:rPr>
          <w:rFonts w:cs="Times New Roman"/>
          <w:b/>
          <w:bCs/>
        </w:rPr>
        <w:t>4.</w:t>
      </w:r>
      <w:r w:rsidRPr="004251DA">
        <w:rPr>
          <w:rFonts w:cs="Times New Roman"/>
        </w:rPr>
        <w:t xml:space="preserve"> </w:t>
      </w:r>
      <w:bookmarkStart w:id="2" w:name="_Hlk113967225"/>
      <w:r w:rsidRPr="004251DA">
        <w:rPr>
          <w:rFonts w:cs="Times New Roman"/>
        </w:rPr>
        <w:t>Illustrative flow chart representation to validate the preliminary specific wavelength of archaeological proxies</w:t>
      </w:r>
    </w:p>
    <w:bookmarkEnd w:id="2"/>
    <w:p w14:paraId="794DCEB6" w14:textId="77777777" w:rsidR="0024372F" w:rsidRPr="004251DA" w:rsidRDefault="0024372F" w:rsidP="0024372F">
      <w:pPr>
        <w:spacing w:after="0" w:line="240" w:lineRule="auto"/>
        <w:jc w:val="both"/>
        <w:rPr>
          <w:rFonts w:cs="Times New Roman"/>
        </w:rPr>
      </w:pPr>
    </w:p>
    <w:p w14:paraId="5760EE1F" w14:textId="3C9BF46D" w:rsidR="004251DA" w:rsidRPr="004251DA" w:rsidRDefault="0024372F" w:rsidP="00557DE6">
      <w:pPr>
        <w:spacing w:after="0" w:line="240" w:lineRule="auto"/>
        <w:ind w:left="810" w:right="746"/>
        <w:jc w:val="both"/>
        <w:rPr>
          <w:rFonts w:cs="Times New Roman"/>
          <w:b/>
          <w:bCs/>
        </w:rPr>
      </w:pPr>
      <w:r w:rsidRPr="004251DA">
        <w:rPr>
          <w:rFonts w:cs="Times New Roman"/>
          <w:b/>
          <w:bCs/>
        </w:rPr>
        <w:t>Table 3</w:t>
      </w:r>
      <w:bookmarkStart w:id="3" w:name="_Hlk116116658"/>
    </w:p>
    <w:p w14:paraId="55D235F2" w14:textId="2067F711" w:rsidR="0024372F" w:rsidRPr="004251DA" w:rsidRDefault="0024372F" w:rsidP="00557DE6">
      <w:pPr>
        <w:spacing w:after="0" w:line="240" w:lineRule="auto"/>
        <w:ind w:left="810" w:right="746"/>
        <w:jc w:val="both"/>
        <w:rPr>
          <w:rFonts w:cs="Times New Roman"/>
        </w:rPr>
      </w:pPr>
      <w:r w:rsidRPr="004251DA">
        <w:rPr>
          <w:rFonts w:cs="Times New Roman"/>
        </w:rPr>
        <w:t>Indication of the calculation for determining the specific wavelengths between eight Vegetation Indexes and eight groups of selected spectral</w:t>
      </w:r>
      <w:bookmarkEnd w:id="3"/>
    </w:p>
    <w:tbl>
      <w:tblPr>
        <w:tblW w:w="8280" w:type="dxa"/>
        <w:jc w:val="center"/>
        <w:tblBorders>
          <w:top w:val="single" w:sz="4" w:space="0" w:color="auto"/>
          <w:bottom w:val="single" w:sz="4" w:space="0" w:color="auto"/>
        </w:tblBorders>
        <w:tblLayout w:type="fixed"/>
        <w:tblLook w:val="04A0" w:firstRow="1" w:lastRow="0" w:firstColumn="1" w:lastColumn="0" w:noHBand="0" w:noVBand="1"/>
      </w:tblPr>
      <w:tblGrid>
        <w:gridCol w:w="1096"/>
        <w:gridCol w:w="1443"/>
        <w:gridCol w:w="516"/>
        <w:gridCol w:w="725"/>
        <w:gridCol w:w="720"/>
        <w:gridCol w:w="720"/>
        <w:gridCol w:w="720"/>
        <w:gridCol w:w="900"/>
        <w:gridCol w:w="720"/>
        <w:gridCol w:w="720"/>
      </w:tblGrid>
      <w:tr w:rsidR="0024372F" w:rsidRPr="00557DE6" w14:paraId="14CEB84C" w14:textId="77777777" w:rsidTr="005C1394">
        <w:trPr>
          <w:jc w:val="center"/>
        </w:trPr>
        <w:tc>
          <w:tcPr>
            <w:tcW w:w="1096" w:type="dxa"/>
            <w:vMerge w:val="restart"/>
            <w:tcBorders>
              <w:top w:val="single" w:sz="4" w:space="0" w:color="auto"/>
              <w:bottom w:val="single" w:sz="4" w:space="0" w:color="auto"/>
            </w:tcBorders>
          </w:tcPr>
          <w:p w14:paraId="7C6C7441" w14:textId="77777777" w:rsidR="0024372F" w:rsidRPr="00557DE6" w:rsidRDefault="0024372F" w:rsidP="0024372F">
            <w:pPr>
              <w:spacing w:after="0" w:line="240" w:lineRule="auto"/>
              <w:jc w:val="both"/>
              <w:rPr>
                <w:rFonts w:cs="Times New Roman"/>
                <w:sz w:val="20"/>
                <w:szCs w:val="20"/>
              </w:rPr>
            </w:pPr>
          </w:p>
        </w:tc>
        <w:tc>
          <w:tcPr>
            <w:tcW w:w="1443" w:type="dxa"/>
            <w:tcBorders>
              <w:top w:val="single" w:sz="4" w:space="0" w:color="auto"/>
              <w:bottom w:val="single" w:sz="4" w:space="0" w:color="auto"/>
            </w:tcBorders>
          </w:tcPr>
          <w:p w14:paraId="67B4DEAB"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Wavelength</w:t>
            </w:r>
          </w:p>
        </w:tc>
        <w:tc>
          <w:tcPr>
            <w:tcW w:w="516" w:type="dxa"/>
            <w:tcBorders>
              <w:top w:val="single" w:sz="4" w:space="0" w:color="auto"/>
              <w:bottom w:val="single" w:sz="4" w:space="0" w:color="auto"/>
            </w:tcBorders>
          </w:tcPr>
          <w:p w14:paraId="20CF261B"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AI</w:t>
            </w:r>
          </w:p>
        </w:tc>
        <w:tc>
          <w:tcPr>
            <w:tcW w:w="725" w:type="dxa"/>
            <w:tcBorders>
              <w:top w:val="single" w:sz="4" w:space="0" w:color="auto"/>
              <w:bottom w:val="single" w:sz="4" w:space="0" w:color="auto"/>
            </w:tcBorders>
          </w:tcPr>
          <w:p w14:paraId="45F5A76F"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PS-1</w:t>
            </w:r>
          </w:p>
        </w:tc>
        <w:tc>
          <w:tcPr>
            <w:tcW w:w="720" w:type="dxa"/>
            <w:tcBorders>
              <w:top w:val="single" w:sz="4" w:space="0" w:color="auto"/>
              <w:bottom w:val="single" w:sz="4" w:space="0" w:color="auto"/>
            </w:tcBorders>
          </w:tcPr>
          <w:p w14:paraId="7C252E0E"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PS-2</w:t>
            </w:r>
          </w:p>
        </w:tc>
        <w:tc>
          <w:tcPr>
            <w:tcW w:w="720" w:type="dxa"/>
            <w:tcBorders>
              <w:top w:val="single" w:sz="4" w:space="0" w:color="auto"/>
              <w:bottom w:val="single" w:sz="4" w:space="0" w:color="auto"/>
            </w:tcBorders>
          </w:tcPr>
          <w:p w14:paraId="3964BC08"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PS-3</w:t>
            </w:r>
          </w:p>
        </w:tc>
        <w:tc>
          <w:tcPr>
            <w:tcW w:w="720" w:type="dxa"/>
            <w:tcBorders>
              <w:top w:val="single" w:sz="4" w:space="0" w:color="auto"/>
              <w:bottom w:val="single" w:sz="4" w:space="0" w:color="auto"/>
            </w:tcBorders>
          </w:tcPr>
          <w:p w14:paraId="688E5CF0"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Iron</w:t>
            </w:r>
          </w:p>
        </w:tc>
        <w:tc>
          <w:tcPr>
            <w:tcW w:w="900" w:type="dxa"/>
            <w:tcBorders>
              <w:top w:val="single" w:sz="4" w:space="0" w:color="auto"/>
              <w:bottom w:val="single" w:sz="4" w:space="0" w:color="auto"/>
            </w:tcBorders>
          </w:tcPr>
          <w:p w14:paraId="389061D1"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Granite</w:t>
            </w:r>
          </w:p>
        </w:tc>
        <w:tc>
          <w:tcPr>
            <w:tcW w:w="720" w:type="dxa"/>
            <w:tcBorders>
              <w:top w:val="single" w:sz="4" w:space="0" w:color="auto"/>
              <w:bottom w:val="single" w:sz="4" w:space="0" w:color="auto"/>
            </w:tcBorders>
          </w:tcPr>
          <w:p w14:paraId="160567B8"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Brick</w:t>
            </w:r>
          </w:p>
        </w:tc>
        <w:tc>
          <w:tcPr>
            <w:tcW w:w="720" w:type="dxa"/>
            <w:tcBorders>
              <w:top w:val="single" w:sz="4" w:space="0" w:color="auto"/>
              <w:bottom w:val="single" w:sz="4" w:space="0" w:color="auto"/>
            </w:tcBorders>
          </w:tcPr>
          <w:p w14:paraId="6868BAAF"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Sarris et. al</w:t>
            </w:r>
          </w:p>
        </w:tc>
      </w:tr>
      <w:tr w:rsidR="0024372F" w:rsidRPr="00557DE6" w14:paraId="1DB8DCFE" w14:textId="77777777" w:rsidTr="005C1394">
        <w:trPr>
          <w:jc w:val="center"/>
        </w:trPr>
        <w:tc>
          <w:tcPr>
            <w:tcW w:w="1096" w:type="dxa"/>
            <w:vMerge/>
            <w:tcBorders>
              <w:top w:val="single" w:sz="4" w:space="0" w:color="auto"/>
            </w:tcBorders>
          </w:tcPr>
          <w:p w14:paraId="59810497" w14:textId="77777777" w:rsidR="0024372F" w:rsidRPr="00557DE6" w:rsidRDefault="0024372F" w:rsidP="0024372F">
            <w:pPr>
              <w:spacing w:after="0" w:line="240" w:lineRule="auto"/>
              <w:jc w:val="both"/>
              <w:rPr>
                <w:rFonts w:cs="Times New Roman"/>
                <w:sz w:val="20"/>
                <w:szCs w:val="20"/>
              </w:rPr>
            </w:pPr>
          </w:p>
        </w:tc>
        <w:tc>
          <w:tcPr>
            <w:tcW w:w="1443" w:type="dxa"/>
            <w:tcBorders>
              <w:top w:val="single" w:sz="4" w:space="0" w:color="auto"/>
            </w:tcBorders>
            <w:shd w:val="clear" w:color="auto" w:fill="D9D9D9" w:themeFill="background1" w:themeFillShade="D9"/>
          </w:tcPr>
          <w:p w14:paraId="4599EB8C"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NIR</w:t>
            </w:r>
          </w:p>
        </w:tc>
        <w:tc>
          <w:tcPr>
            <w:tcW w:w="516" w:type="dxa"/>
            <w:tcBorders>
              <w:top w:val="single" w:sz="4" w:space="0" w:color="auto"/>
            </w:tcBorders>
            <w:shd w:val="clear" w:color="auto" w:fill="D9D9D9" w:themeFill="background1" w:themeFillShade="D9"/>
          </w:tcPr>
          <w:p w14:paraId="3CEE39C5"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0.8</w:t>
            </w:r>
          </w:p>
        </w:tc>
        <w:tc>
          <w:tcPr>
            <w:tcW w:w="725" w:type="dxa"/>
            <w:tcBorders>
              <w:top w:val="single" w:sz="4" w:space="0" w:color="auto"/>
            </w:tcBorders>
            <w:shd w:val="clear" w:color="auto" w:fill="D9D9D9" w:themeFill="background1" w:themeFillShade="D9"/>
          </w:tcPr>
          <w:p w14:paraId="1A2B013A"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0.825</w:t>
            </w:r>
          </w:p>
        </w:tc>
        <w:tc>
          <w:tcPr>
            <w:tcW w:w="720" w:type="dxa"/>
            <w:tcBorders>
              <w:top w:val="single" w:sz="4" w:space="0" w:color="auto"/>
            </w:tcBorders>
            <w:shd w:val="clear" w:color="auto" w:fill="D9D9D9" w:themeFill="background1" w:themeFillShade="D9"/>
          </w:tcPr>
          <w:p w14:paraId="7EDACC8F"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0.9</w:t>
            </w:r>
          </w:p>
        </w:tc>
        <w:tc>
          <w:tcPr>
            <w:tcW w:w="720" w:type="dxa"/>
            <w:tcBorders>
              <w:top w:val="single" w:sz="4" w:space="0" w:color="auto"/>
            </w:tcBorders>
            <w:shd w:val="clear" w:color="auto" w:fill="D9D9D9" w:themeFill="background1" w:themeFillShade="D9"/>
          </w:tcPr>
          <w:p w14:paraId="2AE67686"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0.760</w:t>
            </w:r>
          </w:p>
        </w:tc>
        <w:tc>
          <w:tcPr>
            <w:tcW w:w="720" w:type="dxa"/>
            <w:tcBorders>
              <w:top w:val="single" w:sz="4" w:space="0" w:color="auto"/>
            </w:tcBorders>
            <w:shd w:val="clear" w:color="auto" w:fill="D9D9D9" w:themeFill="background1" w:themeFillShade="D9"/>
          </w:tcPr>
          <w:p w14:paraId="665DADCC"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0.935</w:t>
            </w:r>
          </w:p>
        </w:tc>
        <w:tc>
          <w:tcPr>
            <w:tcW w:w="900" w:type="dxa"/>
            <w:tcBorders>
              <w:top w:val="single" w:sz="4" w:space="0" w:color="auto"/>
            </w:tcBorders>
            <w:shd w:val="clear" w:color="auto" w:fill="D9D9D9" w:themeFill="background1" w:themeFillShade="D9"/>
          </w:tcPr>
          <w:p w14:paraId="32E15103"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0.968</w:t>
            </w:r>
          </w:p>
        </w:tc>
        <w:tc>
          <w:tcPr>
            <w:tcW w:w="720" w:type="dxa"/>
            <w:tcBorders>
              <w:top w:val="single" w:sz="4" w:space="0" w:color="auto"/>
            </w:tcBorders>
            <w:shd w:val="clear" w:color="auto" w:fill="D9D9D9" w:themeFill="background1" w:themeFillShade="D9"/>
          </w:tcPr>
          <w:p w14:paraId="08EDBB22"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0.947</w:t>
            </w:r>
          </w:p>
        </w:tc>
        <w:tc>
          <w:tcPr>
            <w:tcW w:w="720" w:type="dxa"/>
            <w:tcBorders>
              <w:top w:val="single" w:sz="4" w:space="0" w:color="auto"/>
            </w:tcBorders>
            <w:shd w:val="clear" w:color="auto" w:fill="D9D9D9" w:themeFill="background1" w:themeFillShade="D9"/>
          </w:tcPr>
          <w:p w14:paraId="2330AF11"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0.9</w:t>
            </w:r>
          </w:p>
        </w:tc>
      </w:tr>
      <w:tr w:rsidR="0024372F" w:rsidRPr="00557DE6" w14:paraId="1D56EA1E" w14:textId="77777777" w:rsidTr="005C1394">
        <w:trPr>
          <w:jc w:val="center"/>
        </w:trPr>
        <w:tc>
          <w:tcPr>
            <w:tcW w:w="1096" w:type="dxa"/>
            <w:vMerge/>
          </w:tcPr>
          <w:p w14:paraId="5802D07E" w14:textId="77777777" w:rsidR="0024372F" w:rsidRPr="00557DE6" w:rsidRDefault="0024372F" w:rsidP="0024372F">
            <w:pPr>
              <w:spacing w:after="0" w:line="240" w:lineRule="auto"/>
              <w:jc w:val="both"/>
              <w:rPr>
                <w:rFonts w:cs="Times New Roman"/>
                <w:sz w:val="20"/>
                <w:szCs w:val="20"/>
              </w:rPr>
            </w:pPr>
          </w:p>
        </w:tc>
        <w:tc>
          <w:tcPr>
            <w:tcW w:w="1443" w:type="dxa"/>
            <w:shd w:val="clear" w:color="auto" w:fill="F2F2F2" w:themeFill="background1" w:themeFillShade="F2"/>
          </w:tcPr>
          <w:p w14:paraId="7F0551E7"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Red</w:t>
            </w:r>
          </w:p>
        </w:tc>
        <w:tc>
          <w:tcPr>
            <w:tcW w:w="516" w:type="dxa"/>
            <w:shd w:val="clear" w:color="auto" w:fill="F2F2F2" w:themeFill="background1" w:themeFillShade="F2"/>
          </w:tcPr>
          <w:p w14:paraId="0A240CD9"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0.7</w:t>
            </w:r>
          </w:p>
        </w:tc>
        <w:tc>
          <w:tcPr>
            <w:tcW w:w="725" w:type="dxa"/>
            <w:shd w:val="clear" w:color="auto" w:fill="F2F2F2" w:themeFill="background1" w:themeFillShade="F2"/>
          </w:tcPr>
          <w:p w14:paraId="240D931C"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0.66</w:t>
            </w:r>
          </w:p>
        </w:tc>
        <w:tc>
          <w:tcPr>
            <w:tcW w:w="720" w:type="dxa"/>
            <w:shd w:val="clear" w:color="auto" w:fill="F2F2F2" w:themeFill="background1" w:themeFillShade="F2"/>
          </w:tcPr>
          <w:p w14:paraId="37D16E71"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0.67</w:t>
            </w:r>
          </w:p>
        </w:tc>
        <w:tc>
          <w:tcPr>
            <w:tcW w:w="720" w:type="dxa"/>
            <w:shd w:val="clear" w:color="auto" w:fill="F2F2F2" w:themeFill="background1" w:themeFillShade="F2"/>
          </w:tcPr>
          <w:p w14:paraId="7886B3A6"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0.640</w:t>
            </w:r>
          </w:p>
        </w:tc>
        <w:tc>
          <w:tcPr>
            <w:tcW w:w="720" w:type="dxa"/>
            <w:shd w:val="clear" w:color="auto" w:fill="F2F2F2" w:themeFill="background1" w:themeFillShade="F2"/>
          </w:tcPr>
          <w:p w14:paraId="62A6D5E6"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0.7</w:t>
            </w:r>
          </w:p>
        </w:tc>
        <w:tc>
          <w:tcPr>
            <w:tcW w:w="900" w:type="dxa"/>
            <w:shd w:val="clear" w:color="auto" w:fill="F2F2F2" w:themeFill="background1" w:themeFillShade="F2"/>
          </w:tcPr>
          <w:p w14:paraId="3568B64A"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0.7</w:t>
            </w:r>
          </w:p>
        </w:tc>
        <w:tc>
          <w:tcPr>
            <w:tcW w:w="720" w:type="dxa"/>
            <w:shd w:val="clear" w:color="auto" w:fill="F2F2F2" w:themeFill="background1" w:themeFillShade="F2"/>
          </w:tcPr>
          <w:p w14:paraId="0D2617A4"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0.7</w:t>
            </w:r>
          </w:p>
        </w:tc>
        <w:tc>
          <w:tcPr>
            <w:tcW w:w="720" w:type="dxa"/>
            <w:shd w:val="clear" w:color="auto" w:fill="F2F2F2" w:themeFill="background1" w:themeFillShade="F2"/>
          </w:tcPr>
          <w:p w14:paraId="0965B17E"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0.69</w:t>
            </w:r>
          </w:p>
        </w:tc>
      </w:tr>
      <w:tr w:rsidR="0024372F" w:rsidRPr="00557DE6" w14:paraId="2910E111" w14:textId="77777777" w:rsidTr="005C1394">
        <w:trPr>
          <w:jc w:val="center"/>
        </w:trPr>
        <w:tc>
          <w:tcPr>
            <w:tcW w:w="1096" w:type="dxa"/>
            <w:shd w:val="clear" w:color="auto" w:fill="FFFFFF" w:themeFill="background1"/>
          </w:tcPr>
          <w:p w14:paraId="2A605558" w14:textId="77777777" w:rsidR="0024372F" w:rsidRPr="00557DE6" w:rsidRDefault="0024372F" w:rsidP="0024372F">
            <w:pPr>
              <w:spacing w:after="0" w:line="240" w:lineRule="auto"/>
              <w:jc w:val="both"/>
              <w:rPr>
                <w:rFonts w:cs="Times New Roman"/>
                <w:sz w:val="20"/>
                <w:szCs w:val="20"/>
              </w:rPr>
            </w:pPr>
            <w:r w:rsidRPr="00557DE6">
              <w:rPr>
                <w:rFonts w:cs="Times New Roman"/>
                <w:sz w:val="20"/>
                <w:szCs w:val="20"/>
              </w:rPr>
              <w:t xml:space="preserve">Algorithm </w:t>
            </w:r>
          </w:p>
        </w:tc>
        <w:tc>
          <w:tcPr>
            <w:tcW w:w="1443" w:type="dxa"/>
            <w:shd w:val="clear" w:color="auto" w:fill="BFBFBF" w:themeFill="background1" w:themeFillShade="BF"/>
          </w:tcPr>
          <w:p w14:paraId="4CB6DFA5" w14:textId="77777777" w:rsidR="0024372F" w:rsidRPr="00557DE6" w:rsidRDefault="0024372F" w:rsidP="0024372F">
            <w:pPr>
              <w:spacing w:after="0" w:line="240" w:lineRule="auto"/>
              <w:jc w:val="both"/>
              <w:rPr>
                <w:rFonts w:cs="Times New Roman"/>
                <w:sz w:val="20"/>
                <w:szCs w:val="20"/>
              </w:rPr>
            </w:pPr>
          </w:p>
        </w:tc>
        <w:tc>
          <w:tcPr>
            <w:tcW w:w="516" w:type="dxa"/>
            <w:shd w:val="clear" w:color="auto" w:fill="BFBFBF" w:themeFill="background1" w:themeFillShade="BF"/>
          </w:tcPr>
          <w:p w14:paraId="1EAE8C25" w14:textId="77777777" w:rsidR="0024372F" w:rsidRPr="00557DE6" w:rsidRDefault="0024372F" w:rsidP="0024372F">
            <w:pPr>
              <w:spacing w:after="0" w:line="240" w:lineRule="auto"/>
              <w:jc w:val="both"/>
              <w:rPr>
                <w:rFonts w:cs="Times New Roman"/>
                <w:sz w:val="20"/>
                <w:szCs w:val="20"/>
              </w:rPr>
            </w:pPr>
          </w:p>
        </w:tc>
        <w:tc>
          <w:tcPr>
            <w:tcW w:w="725" w:type="dxa"/>
            <w:shd w:val="clear" w:color="auto" w:fill="BFBFBF" w:themeFill="background1" w:themeFillShade="BF"/>
          </w:tcPr>
          <w:p w14:paraId="29431AB2"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0E63DB6F"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27E5F0B7"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3B506995" w14:textId="77777777" w:rsidR="0024372F" w:rsidRPr="00557DE6" w:rsidRDefault="0024372F" w:rsidP="0024372F">
            <w:pPr>
              <w:spacing w:after="0" w:line="240" w:lineRule="auto"/>
              <w:jc w:val="both"/>
              <w:rPr>
                <w:rFonts w:cs="Times New Roman"/>
                <w:sz w:val="20"/>
                <w:szCs w:val="20"/>
              </w:rPr>
            </w:pPr>
          </w:p>
        </w:tc>
        <w:tc>
          <w:tcPr>
            <w:tcW w:w="900" w:type="dxa"/>
            <w:shd w:val="clear" w:color="auto" w:fill="BFBFBF" w:themeFill="background1" w:themeFillShade="BF"/>
          </w:tcPr>
          <w:p w14:paraId="16EF4F73"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75C7ABD7"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081858BC" w14:textId="77777777" w:rsidR="0024372F" w:rsidRPr="00557DE6" w:rsidRDefault="0024372F" w:rsidP="0024372F">
            <w:pPr>
              <w:spacing w:after="0" w:line="240" w:lineRule="auto"/>
              <w:jc w:val="both"/>
              <w:rPr>
                <w:rFonts w:cs="Times New Roman"/>
                <w:sz w:val="20"/>
                <w:szCs w:val="20"/>
              </w:rPr>
            </w:pPr>
          </w:p>
        </w:tc>
      </w:tr>
      <w:tr w:rsidR="0024372F" w:rsidRPr="00557DE6" w14:paraId="086FB850" w14:textId="77777777" w:rsidTr="005C1394">
        <w:trPr>
          <w:jc w:val="center"/>
        </w:trPr>
        <w:tc>
          <w:tcPr>
            <w:tcW w:w="1096" w:type="dxa"/>
            <w:shd w:val="clear" w:color="auto" w:fill="FFFFFF" w:themeFill="background1"/>
          </w:tcPr>
          <w:p w14:paraId="07970892" w14:textId="77777777" w:rsidR="0024372F" w:rsidRPr="00557DE6" w:rsidRDefault="0024372F" w:rsidP="0024372F">
            <w:pPr>
              <w:spacing w:after="0" w:line="240" w:lineRule="auto"/>
              <w:jc w:val="both"/>
              <w:rPr>
                <w:rFonts w:cs="Times New Roman"/>
                <w:i/>
                <w:iCs/>
                <w:sz w:val="20"/>
                <w:szCs w:val="20"/>
              </w:rPr>
            </w:pPr>
            <w:r w:rsidRPr="00557DE6">
              <w:rPr>
                <w:rFonts w:cs="Times New Roman"/>
                <w:i/>
                <w:iCs/>
                <w:sz w:val="20"/>
                <w:szCs w:val="20"/>
              </w:rPr>
              <w:t xml:space="preserve">NDVI </w:t>
            </w:r>
          </w:p>
        </w:tc>
        <w:tc>
          <w:tcPr>
            <w:tcW w:w="1443" w:type="dxa"/>
            <w:shd w:val="clear" w:color="auto" w:fill="BFBFBF" w:themeFill="background1" w:themeFillShade="BF"/>
          </w:tcPr>
          <w:p w14:paraId="48306FC7" w14:textId="77777777" w:rsidR="0024372F" w:rsidRPr="00557DE6" w:rsidRDefault="0024372F" w:rsidP="0024372F">
            <w:pPr>
              <w:spacing w:after="0" w:line="240" w:lineRule="auto"/>
              <w:jc w:val="both"/>
              <w:rPr>
                <w:rFonts w:cs="Times New Roman"/>
                <w:sz w:val="20"/>
                <w:szCs w:val="20"/>
              </w:rPr>
            </w:pPr>
          </w:p>
        </w:tc>
        <w:tc>
          <w:tcPr>
            <w:tcW w:w="516" w:type="dxa"/>
            <w:shd w:val="clear" w:color="auto" w:fill="BFBFBF" w:themeFill="background1" w:themeFillShade="BF"/>
          </w:tcPr>
          <w:p w14:paraId="053CFB9D" w14:textId="77777777" w:rsidR="0024372F" w:rsidRPr="00557DE6" w:rsidRDefault="0024372F" w:rsidP="0024372F">
            <w:pPr>
              <w:spacing w:after="0" w:line="240" w:lineRule="auto"/>
              <w:jc w:val="both"/>
              <w:rPr>
                <w:rFonts w:cs="Times New Roman"/>
                <w:sz w:val="20"/>
                <w:szCs w:val="20"/>
              </w:rPr>
            </w:pPr>
          </w:p>
        </w:tc>
        <w:tc>
          <w:tcPr>
            <w:tcW w:w="725" w:type="dxa"/>
            <w:shd w:val="clear" w:color="auto" w:fill="BFBFBF" w:themeFill="background1" w:themeFillShade="BF"/>
          </w:tcPr>
          <w:p w14:paraId="0F8D731B"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408587B5"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5DB40DBC"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5F7FBD1C" w14:textId="77777777" w:rsidR="0024372F" w:rsidRPr="00557DE6" w:rsidRDefault="0024372F" w:rsidP="0024372F">
            <w:pPr>
              <w:spacing w:after="0" w:line="240" w:lineRule="auto"/>
              <w:jc w:val="both"/>
              <w:rPr>
                <w:rFonts w:cs="Times New Roman"/>
                <w:sz w:val="20"/>
                <w:szCs w:val="20"/>
              </w:rPr>
            </w:pPr>
          </w:p>
        </w:tc>
        <w:tc>
          <w:tcPr>
            <w:tcW w:w="900" w:type="dxa"/>
            <w:shd w:val="clear" w:color="auto" w:fill="BFBFBF" w:themeFill="background1" w:themeFillShade="BF"/>
          </w:tcPr>
          <w:p w14:paraId="4286D6E1"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49EE4B4E"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55CBD9CF" w14:textId="77777777" w:rsidR="0024372F" w:rsidRPr="00557DE6" w:rsidRDefault="0024372F" w:rsidP="0024372F">
            <w:pPr>
              <w:spacing w:after="0" w:line="240" w:lineRule="auto"/>
              <w:jc w:val="both"/>
              <w:rPr>
                <w:rFonts w:cs="Times New Roman"/>
                <w:sz w:val="20"/>
                <w:szCs w:val="20"/>
              </w:rPr>
            </w:pPr>
          </w:p>
        </w:tc>
      </w:tr>
      <w:tr w:rsidR="0024372F" w:rsidRPr="00557DE6" w14:paraId="6E6C2982" w14:textId="77777777" w:rsidTr="005C1394">
        <w:trPr>
          <w:jc w:val="center"/>
        </w:trPr>
        <w:tc>
          <w:tcPr>
            <w:tcW w:w="1096" w:type="dxa"/>
            <w:shd w:val="clear" w:color="auto" w:fill="FFFFFF" w:themeFill="background1"/>
          </w:tcPr>
          <w:p w14:paraId="40FE8DEF" w14:textId="77777777" w:rsidR="0024372F" w:rsidRPr="00557DE6" w:rsidRDefault="0024372F" w:rsidP="0024372F">
            <w:pPr>
              <w:spacing w:after="0" w:line="240" w:lineRule="auto"/>
              <w:jc w:val="both"/>
              <w:rPr>
                <w:rFonts w:cs="Times New Roman"/>
                <w:i/>
                <w:iCs/>
                <w:sz w:val="20"/>
                <w:szCs w:val="20"/>
              </w:rPr>
            </w:pPr>
            <w:r w:rsidRPr="00557DE6">
              <w:rPr>
                <w:rFonts w:cs="Times New Roman"/>
                <w:i/>
                <w:iCs/>
                <w:sz w:val="20"/>
                <w:szCs w:val="20"/>
              </w:rPr>
              <w:t xml:space="preserve">GNDVI </w:t>
            </w:r>
          </w:p>
        </w:tc>
        <w:tc>
          <w:tcPr>
            <w:tcW w:w="1443" w:type="dxa"/>
            <w:shd w:val="clear" w:color="auto" w:fill="BFBFBF" w:themeFill="background1" w:themeFillShade="BF"/>
          </w:tcPr>
          <w:p w14:paraId="0097DE7F" w14:textId="77777777" w:rsidR="0024372F" w:rsidRPr="00557DE6" w:rsidRDefault="0024372F" w:rsidP="0024372F">
            <w:pPr>
              <w:spacing w:after="0" w:line="240" w:lineRule="auto"/>
              <w:jc w:val="both"/>
              <w:rPr>
                <w:rFonts w:cs="Times New Roman"/>
                <w:sz w:val="20"/>
                <w:szCs w:val="20"/>
              </w:rPr>
            </w:pPr>
          </w:p>
        </w:tc>
        <w:tc>
          <w:tcPr>
            <w:tcW w:w="516" w:type="dxa"/>
            <w:shd w:val="clear" w:color="auto" w:fill="BFBFBF" w:themeFill="background1" w:themeFillShade="BF"/>
          </w:tcPr>
          <w:p w14:paraId="5D3F6B5A" w14:textId="77777777" w:rsidR="0024372F" w:rsidRPr="00557DE6" w:rsidRDefault="0024372F" w:rsidP="0024372F">
            <w:pPr>
              <w:spacing w:after="0" w:line="240" w:lineRule="auto"/>
              <w:jc w:val="both"/>
              <w:rPr>
                <w:rFonts w:cs="Times New Roman"/>
                <w:sz w:val="20"/>
                <w:szCs w:val="20"/>
              </w:rPr>
            </w:pPr>
          </w:p>
        </w:tc>
        <w:tc>
          <w:tcPr>
            <w:tcW w:w="725" w:type="dxa"/>
            <w:shd w:val="clear" w:color="auto" w:fill="BFBFBF" w:themeFill="background1" w:themeFillShade="BF"/>
          </w:tcPr>
          <w:p w14:paraId="650644E5"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3C8DEB65"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2B8C523E"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413BD21D" w14:textId="77777777" w:rsidR="0024372F" w:rsidRPr="00557DE6" w:rsidRDefault="0024372F" w:rsidP="0024372F">
            <w:pPr>
              <w:spacing w:after="0" w:line="240" w:lineRule="auto"/>
              <w:jc w:val="both"/>
              <w:rPr>
                <w:rFonts w:cs="Times New Roman"/>
                <w:sz w:val="20"/>
                <w:szCs w:val="20"/>
              </w:rPr>
            </w:pPr>
          </w:p>
        </w:tc>
        <w:tc>
          <w:tcPr>
            <w:tcW w:w="900" w:type="dxa"/>
            <w:shd w:val="clear" w:color="auto" w:fill="BFBFBF" w:themeFill="background1" w:themeFillShade="BF"/>
          </w:tcPr>
          <w:p w14:paraId="2EF88837"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0F8E6C1E"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65D66EF9" w14:textId="77777777" w:rsidR="0024372F" w:rsidRPr="00557DE6" w:rsidRDefault="0024372F" w:rsidP="0024372F">
            <w:pPr>
              <w:spacing w:after="0" w:line="240" w:lineRule="auto"/>
              <w:jc w:val="both"/>
              <w:rPr>
                <w:rFonts w:cs="Times New Roman"/>
                <w:sz w:val="20"/>
                <w:szCs w:val="20"/>
              </w:rPr>
            </w:pPr>
          </w:p>
        </w:tc>
      </w:tr>
      <w:tr w:rsidR="0024372F" w:rsidRPr="00557DE6" w14:paraId="26EB6ABA" w14:textId="77777777" w:rsidTr="005C1394">
        <w:trPr>
          <w:jc w:val="center"/>
        </w:trPr>
        <w:tc>
          <w:tcPr>
            <w:tcW w:w="1096" w:type="dxa"/>
            <w:shd w:val="clear" w:color="auto" w:fill="FFFFFF" w:themeFill="background1"/>
          </w:tcPr>
          <w:p w14:paraId="46816560" w14:textId="77777777" w:rsidR="0024372F" w:rsidRPr="00557DE6" w:rsidRDefault="0024372F" w:rsidP="0024372F">
            <w:pPr>
              <w:spacing w:after="0" w:line="240" w:lineRule="auto"/>
              <w:jc w:val="both"/>
              <w:rPr>
                <w:rFonts w:cs="Times New Roman"/>
                <w:i/>
                <w:iCs/>
                <w:sz w:val="20"/>
                <w:szCs w:val="20"/>
              </w:rPr>
            </w:pPr>
            <w:r w:rsidRPr="00557DE6">
              <w:rPr>
                <w:rFonts w:cs="Times New Roman"/>
                <w:i/>
                <w:iCs/>
                <w:sz w:val="20"/>
                <w:szCs w:val="20"/>
              </w:rPr>
              <w:t xml:space="preserve">SR </w:t>
            </w:r>
          </w:p>
        </w:tc>
        <w:tc>
          <w:tcPr>
            <w:tcW w:w="1443" w:type="dxa"/>
            <w:shd w:val="clear" w:color="auto" w:fill="BFBFBF" w:themeFill="background1" w:themeFillShade="BF"/>
          </w:tcPr>
          <w:p w14:paraId="6D1AE52B" w14:textId="77777777" w:rsidR="0024372F" w:rsidRPr="00557DE6" w:rsidRDefault="0024372F" w:rsidP="0024372F">
            <w:pPr>
              <w:spacing w:after="0" w:line="240" w:lineRule="auto"/>
              <w:jc w:val="both"/>
              <w:rPr>
                <w:rFonts w:cs="Times New Roman"/>
                <w:sz w:val="20"/>
                <w:szCs w:val="20"/>
              </w:rPr>
            </w:pPr>
          </w:p>
        </w:tc>
        <w:tc>
          <w:tcPr>
            <w:tcW w:w="516" w:type="dxa"/>
            <w:shd w:val="clear" w:color="auto" w:fill="BFBFBF" w:themeFill="background1" w:themeFillShade="BF"/>
          </w:tcPr>
          <w:p w14:paraId="3BD6A5E5" w14:textId="77777777" w:rsidR="0024372F" w:rsidRPr="00557DE6" w:rsidRDefault="0024372F" w:rsidP="0024372F">
            <w:pPr>
              <w:spacing w:after="0" w:line="240" w:lineRule="auto"/>
              <w:jc w:val="both"/>
              <w:rPr>
                <w:rFonts w:cs="Times New Roman"/>
                <w:sz w:val="20"/>
                <w:szCs w:val="20"/>
              </w:rPr>
            </w:pPr>
          </w:p>
        </w:tc>
        <w:tc>
          <w:tcPr>
            <w:tcW w:w="725" w:type="dxa"/>
            <w:shd w:val="clear" w:color="auto" w:fill="BFBFBF" w:themeFill="background1" w:themeFillShade="BF"/>
          </w:tcPr>
          <w:p w14:paraId="34A72506"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0B442110"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4FB51A09"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71B4A016" w14:textId="77777777" w:rsidR="0024372F" w:rsidRPr="00557DE6" w:rsidRDefault="0024372F" w:rsidP="0024372F">
            <w:pPr>
              <w:spacing w:after="0" w:line="240" w:lineRule="auto"/>
              <w:jc w:val="both"/>
              <w:rPr>
                <w:rFonts w:cs="Times New Roman"/>
                <w:sz w:val="20"/>
                <w:szCs w:val="20"/>
              </w:rPr>
            </w:pPr>
          </w:p>
        </w:tc>
        <w:tc>
          <w:tcPr>
            <w:tcW w:w="900" w:type="dxa"/>
            <w:shd w:val="clear" w:color="auto" w:fill="BFBFBF" w:themeFill="background1" w:themeFillShade="BF"/>
          </w:tcPr>
          <w:p w14:paraId="396E5D82"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5A062542"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38D0376F" w14:textId="77777777" w:rsidR="0024372F" w:rsidRPr="00557DE6" w:rsidRDefault="0024372F" w:rsidP="0024372F">
            <w:pPr>
              <w:spacing w:after="0" w:line="240" w:lineRule="auto"/>
              <w:jc w:val="both"/>
              <w:rPr>
                <w:rFonts w:cs="Times New Roman"/>
                <w:sz w:val="20"/>
                <w:szCs w:val="20"/>
              </w:rPr>
            </w:pPr>
          </w:p>
        </w:tc>
      </w:tr>
      <w:tr w:rsidR="0024372F" w:rsidRPr="00557DE6" w14:paraId="578FA999" w14:textId="77777777" w:rsidTr="005C1394">
        <w:trPr>
          <w:jc w:val="center"/>
        </w:trPr>
        <w:tc>
          <w:tcPr>
            <w:tcW w:w="1096" w:type="dxa"/>
            <w:shd w:val="clear" w:color="auto" w:fill="FFFFFF" w:themeFill="background1"/>
          </w:tcPr>
          <w:p w14:paraId="306A2D66" w14:textId="77777777" w:rsidR="0024372F" w:rsidRPr="00557DE6" w:rsidRDefault="0024372F" w:rsidP="0024372F">
            <w:pPr>
              <w:spacing w:after="0" w:line="240" w:lineRule="auto"/>
              <w:jc w:val="both"/>
              <w:rPr>
                <w:rFonts w:cs="Times New Roman"/>
                <w:i/>
                <w:iCs/>
                <w:sz w:val="20"/>
                <w:szCs w:val="20"/>
              </w:rPr>
            </w:pPr>
            <w:r w:rsidRPr="00557DE6">
              <w:rPr>
                <w:rFonts w:cs="Times New Roman"/>
                <w:i/>
                <w:iCs/>
                <w:sz w:val="20"/>
                <w:szCs w:val="20"/>
              </w:rPr>
              <w:t xml:space="preserve">MSR </w:t>
            </w:r>
          </w:p>
        </w:tc>
        <w:tc>
          <w:tcPr>
            <w:tcW w:w="1443" w:type="dxa"/>
            <w:shd w:val="clear" w:color="auto" w:fill="BFBFBF" w:themeFill="background1" w:themeFillShade="BF"/>
          </w:tcPr>
          <w:p w14:paraId="745C74FF" w14:textId="77777777" w:rsidR="0024372F" w:rsidRPr="00557DE6" w:rsidRDefault="0024372F" w:rsidP="0024372F">
            <w:pPr>
              <w:spacing w:after="0" w:line="240" w:lineRule="auto"/>
              <w:jc w:val="both"/>
              <w:rPr>
                <w:rFonts w:cs="Times New Roman"/>
                <w:sz w:val="20"/>
                <w:szCs w:val="20"/>
              </w:rPr>
            </w:pPr>
          </w:p>
        </w:tc>
        <w:tc>
          <w:tcPr>
            <w:tcW w:w="516" w:type="dxa"/>
            <w:shd w:val="clear" w:color="auto" w:fill="BFBFBF" w:themeFill="background1" w:themeFillShade="BF"/>
          </w:tcPr>
          <w:p w14:paraId="1A015DC4" w14:textId="77777777" w:rsidR="0024372F" w:rsidRPr="00557DE6" w:rsidRDefault="0024372F" w:rsidP="0024372F">
            <w:pPr>
              <w:spacing w:after="0" w:line="240" w:lineRule="auto"/>
              <w:jc w:val="both"/>
              <w:rPr>
                <w:rFonts w:cs="Times New Roman"/>
                <w:sz w:val="20"/>
                <w:szCs w:val="20"/>
              </w:rPr>
            </w:pPr>
          </w:p>
        </w:tc>
        <w:tc>
          <w:tcPr>
            <w:tcW w:w="725" w:type="dxa"/>
            <w:shd w:val="clear" w:color="auto" w:fill="BFBFBF" w:themeFill="background1" w:themeFillShade="BF"/>
          </w:tcPr>
          <w:p w14:paraId="4176D6E2"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071E7C2A"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378E057D"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5E756905" w14:textId="77777777" w:rsidR="0024372F" w:rsidRPr="00557DE6" w:rsidRDefault="0024372F" w:rsidP="0024372F">
            <w:pPr>
              <w:spacing w:after="0" w:line="240" w:lineRule="auto"/>
              <w:jc w:val="both"/>
              <w:rPr>
                <w:rFonts w:cs="Times New Roman"/>
                <w:sz w:val="20"/>
                <w:szCs w:val="20"/>
              </w:rPr>
            </w:pPr>
          </w:p>
        </w:tc>
        <w:tc>
          <w:tcPr>
            <w:tcW w:w="900" w:type="dxa"/>
            <w:shd w:val="clear" w:color="auto" w:fill="BFBFBF" w:themeFill="background1" w:themeFillShade="BF"/>
          </w:tcPr>
          <w:p w14:paraId="594AD223"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266C6315"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2721D25B" w14:textId="77777777" w:rsidR="0024372F" w:rsidRPr="00557DE6" w:rsidRDefault="0024372F" w:rsidP="0024372F">
            <w:pPr>
              <w:spacing w:after="0" w:line="240" w:lineRule="auto"/>
              <w:jc w:val="both"/>
              <w:rPr>
                <w:rFonts w:cs="Times New Roman"/>
                <w:sz w:val="20"/>
                <w:szCs w:val="20"/>
              </w:rPr>
            </w:pPr>
          </w:p>
        </w:tc>
      </w:tr>
      <w:tr w:rsidR="0024372F" w:rsidRPr="00557DE6" w14:paraId="701A51B0" w14:textId="77777777" w:rsidTr="005C1394">
        <w:trPr>
          <w:jc w:val="center"/>
        </w:trPr>
        <w:tc>
          <w:tcPr>
            <w:tcW w:w="1096" w:type="dxa"/>
            <w:shd w:val="clear" w:color="auto" w:fill="FFFFFF" w:themeFill="background1"/>
          </w:tcPr>
          <w:p w14:paraId="3D6A49CB" w14:textId="77777777" w:rsidR="0024372F" w:rsidRPr="00557DE6" w:rsidRDefault="0024372F" w:rsidP="0024372F">
            <w:pPr>
              <w:spacing w:after="0" w:line="240" w:lineRule="auto"/>
              <w:jc w:val="both"/>
              <w:rPr>
                <w:rFonts w:cs="Times New Roman"/>
                <w:i/>
                <w:iCs/>
                <w:sz w:val="20"/>
                <w:szCs w:val="20"/>
              </w:rPr>
            </w:pPr>
            <w:r w:rsidRPr="00557DE6">
              <w:rPr>
                <w:rFonts w:cs="Times New Roman"/>
                <w:i/>
                <w:iCs/>
                <w:sz w:val="20"/>
                <w:szCs w:val="20"/>
              </w:rPr>
              <w:t xml:space="preserve">DVI </w:t>
            </w:r>
          </w:p>
        </w:tc>
        <w:tc>
          <w:tcPr>
            <w:tcW w:w="1443" w:type="dxa"/>
            <w:shd w:val="clear" w:color="auto" w:fill="BFBFBF" w:themeFill="background1" w:themeFillShade="BF"/>
          </w:tcPr>
          <w:p w14:paraId="319DCA36" w14:textId="77777777" w:rsidR="0024372F" w:rsidRPr="00557DE6" w:rsidRDefault="0024372F" w:rsidP="0024372F">
            <w:pPr>
              <w:spacing w:after="0" w:line="240" w:lineRule="auto"/>
              <w:jc w:val="both"/>
              <w:rPr>
                <w:rFonts w:cs="Times New Roman"/>
                <w:sz w:val="20"/>
                <w:szCs w:val="20"/>
              </w:rPr>
            </w:pPr>
          </w:p>
        </w:tc>
        <w:tc>
          <w:tcPr>
            <w:tcW w:w="516" w:type="dxa"/>
            <w:shd w:val="clear" w:color="auto" w:fill="BFBFBF" w:themeFill="background1" w:themeFillShade="BF"/>
          </w:tcPr>
          <w:p w14:paraId="0D634ED0" w14:textId="77777777" w:rsidR="0024372F" w:rsidRPr="00557DE6" w:rsidRDefault="0024372F" w:rsidP="0024372F">
            <w:pPr>
              <w:spacing w:after="0" w:line="240" w:lineRule="auto"/>
              <w:jc w:val="both"/>
              <w:rPr>
                <w:rFonts w:cs="Times New Roman"/>
                <w:sz w:val="20"/>
                <w:szCs w:val="20"/>
              </w:rPr>
            </w:pPr>
          </w:p>
        </w:tc>
        <w:tc>
          <w:tcPr>
            <w:tcW w:w="725" w:type="dxa"/>
            <w:shd w:val="clear" w:color="auto" w:fill="BFBFBF" w:themeFill="background1" w:themeFillShade="BF"/>
          </w:tcPr>
          <w:p w14:paraId="35D34932"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05ABCF85"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2B44D851"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0B2B5B58" w14:textId="77777777" w:rsidR="0024372F" w:rsidRPr="00557DE6" w:rsidRDefault="0024372F" w:rsidP="0024372F">
            <w:pPr>
              <w:spacing w:after="0" w:line="240" w:lineRule="auto"/>
              <w:jc w:val="both"/>
              <w:rPr>
                <w:rFonts w:cs="Times New Roman"/>
                <w:sz w:val="20"/>
                <w:szCs w:val="20"/>
              </w:rPr>
            </w:pPr>
          </w:p>
        </w:tc>
        <w:tc>
          <w:tcPr>
            <w:tcW w:w="900" w:type="dxa"/>
            <w:shd w:val="clear" w:color="auto" w:fill="BFBFBF" w:themeFill="background1" w:themeFillShade="BF"/>
          </w:tcPr>
          <w:p w14:paraId="195BF020"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7717B518"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638B3FC5" w14:textId="77777777" w:rsidR="0024372F" w:rsidRPr="00557DE6" w:rsidRDefault="0024372F" w:rsidP="0024372F">
            <w:pPr>
              <w:spacing w:after="0" w:line="240" w:lineRule="auto"/>
              <w:jc w:val="both"/>
              <w:rPr>
                <w:rFonts w:cs="Times New Roman"/>
                <w:sz w:val="20"/>
                <w:szCs w:val="20"/>
              </w:rPr>
            </w:pPr>
          </w:p>
        </w:tc>
      </w:tr>
      <w:tr w:rsidR="0024372F" w:rsidRPr="00557DE6" w14:paraId="6D3DAA89" w14:textId="77777777" w:rsidTr="005C1394">
        <w:trPr>
          <w:jc w:val="center"/>
        </w:trPr>
        <w:tc>
          <w:tcPr>
            <w:tcW w:w="1096" w:type="dxa"/>
            <w:shd w:val="clear" w:color="auto" w:fill="FFFFFF" w:themeFill="background1"/>
          </w:tcPr>
          <w:p w14:paraId="3CBCC712" w14:textId="77777777" w:rsidR="0024372F" w:rsidRPr="00557DE6" w:rsidRDefault="0024372F" w:rsidP="0024372F">
            <w:pPr>
              <w:spacing w:after="0" w:line="240" w:lineRule="auto"/>
              <w:jc w:val="both"/>
              <w:rPr>
                <w:rFonts w:cs="Times New Roman"/>
                <w:i/>
                <w:iCs/>
                <w:sz w:val="20"/>
                <w:szCs w:val="20"/>
              </w:rPr>
            </w:pPr>
            <w:r w:rsidRPr="00557DE6">
              <w:rPr>
                <w:rFonts w:cs="Times New Roman"/>
                <w:i/>
                <w:iCs/>
                <w:sz w:val="20"/>
                <w:szCs w:val="20"/>
              </w:rPr>
              <w:t>RDVI</w:t>
            </w:r>
          </w:p>
        </w:tc>
        <w:tc>
          <w:tcPr>
            <w:tcW w:w="1443" w:type="dxa"/>
            <w:shd w:val="clear" w:color="auto" w:fill="BFBFBF" w:themeFill="background1" w:themeFillShade="BF"/>
          </w:tcPr>
          <w:p w14:paraId="312DDA60" w14:textId="77777777" w:rsidR="0024372F" w:rsidRPr="00557DE6" w:rsidRDefault="0024372F" w:rsidP="0024372F">
            <w:pPr>
              <w:spacing w:after="0" w:line="240" w:lineRule="auto"/>
              <w:jc w:val="both"/>
              <w:rPr>
                <w:rFonts w:cs="Times New Roman"/>
                <w:sz w:val="20"/>
                <w:szCs w:val="20"/>
              </w:rPr>
            </w:pPr>
          </w:p>
        </w:tc>
        <w:tc>
          <w:tcPr>
            <w:tcW w:w="516" w:type="dxa"/>
            <w:shd w:val="clear" w:color="auto" w:fill="BFBFBF" w:themeFill="background1" w:themeFillShade="BF"/>
          </w:tcPr>
          <w:p w14:paraId="471F70BD" w14:textId="77777777" w:rsidR="0024372F" w:rsidRPr="00557DE6" w:rsidRDefault="0024372F" w:rsidP="0024372F">
            <w:pPr>
              <w:spacing w:after="0" w:line="240" w:lineRule="auto"/>
              <w:jc w:val="both"/>
              <w:rPr>
                <w:rFonts w:cs="Times New Roman"/>
                <w:sz w:val="20"/>
                <w:szCs w:val="20"/>
              </w:rPr>
            </w:pPr>
          </w:p>
        </w:tc>
        <w:tc>
          <w:tcPr>
            <w:tcW w:w="725" w:type="dxa"/>
            <w:shd w:val="clear" w:color="auto" w:fill="BFBFBF" w:themeFill="background1" w:themeFillShade="BF"/>
          </w:tcPr>
          <w:p w14:paraId="1C34D0AA"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3135C09B"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762AD2A5"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63E00A10" w14:textId="77777777" w:rsidR="0024372F" w:rsidRPr="00557DE6" w:rsidRDefault="0024372F" w:rsidP="0024372F">
            <w:pPr>
              <w:spacing w:after="0" w:line="240" w:lineRule="auto"/>
              <w:jc w:val="both"/>
              <w:rPr>
                <w:rFonts w:cs="Times New Roman"/>
                <w:sz w:val="20"/>
                <w:szCs w:val="20"/>
              </w:rPr>
            </w:pPr>
          </w:p>
        </w:tc>
        <w:tc>
          <w:tcPr>
            <w:tcW w:w="900" w:type="dxa"/>
            <w:shd w:val="clear" w:color="auto" w:fill="BFBFBF" w:themeFill="background1" w:themeFillShade="BF"/>
          </w:tcPr>
          <w:p w14:paraId="24EEE70C"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7C228C06"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5462CC1F" w14:textId="77777777" w:rsidR="0024372F" w:rsidRPr="00557DE6" w:rsidRDefault="0024372F" w:rsidP="0024372F">
            <w:pPr>
              <w:spacing w:after="0" w:line="240" w:lineRule="auto"/>
              <w:jc w:val="both"/>
              <w:rPr>
                <w:rFonts w:cs="Times New Roman"/>
                <w:sz w:val="20"/>
                <w:szCs w:val="20"/>
              </w:rPr>
            </w:pPr>
          </w:p>
        </w:tc>
      </w:tr>
      <w:tr w:rsidR="0024372F" w:rsidRPr="00557DE6" w14:paraId="657C350B" w14:textId="77777777" w:rsidTr="005C1394">
        <w:trPr>
          <w:jc w:val="center"/>
        </w:trPr>
        <w:tc>
          <w:tcPr>
            <w:tcW w:w="1096" w:type="dxa"/>
            <w:shd w:val="clear" w:color="auto" w:fill="FFFFFF" w:themeFill="background1"/>
          </w:tcPr>
          <w:p w14:paraId="71C42B79" w14:textId="77777777" w:rsidR="0024372F" w:rsidRPr="00557DE6" w:rsidRDefault="0024372F" w:rsidP="0024372F">
            <w:pPr>
              <w:spacing w:after="0" w:line="240" w:lineRule="auto"/>
              <w:jc w:val="both"/>
              <w:rPr>
                <w:rFonts w:cs="Times New Roman"/>
                <w:i/>
                <w:iCs/>
                <w:sz w:val="20"/>
                <w:szCs w:val="20"/>
              </w:rPr>
            </w:pPr>
            <w:r w:rsidRPr="00557DE6">
              <w:rPr>
                <w:rFonts w:cs="Times New Roman"/>
                <w:i/>
                <w:iCs/>
                <w:sz w:val="20"/>
                <w:szCs w:val="20"/>
              </w:rPr>
              <w:t>EVI</w:t>
            </w:r>
          </w:p>
        </w:tc>
        <w:tc>
          <w:tcPr>
            <w:tcW w:w="1443" w:type="dxa"/>
            <w:shd w:val="clear" w:color="auto" w:fill="BFBFBF" w:themeFill="background1" w:themeFillShade="BF"/>
          </w:tcPr>
          <w:p w14:paraId="0DC4BBC5" w14:textId="77777777" w:rsidR="0024372F" w:rsidRPr="00557DE6" w:rsidRDefault="0024372F" w:rsidP="0024372F">
            <w:pPr>
              <w:spacing w:after="0" w:line="240" w:lineRule="auto"/>
              <w:jc w:val="both"/>
              <w:rPr>
                <w:rFonts w:cs="Times New Roman"/>
                <w:sz w:val="20"/>
                <w:szCs w:val="20"/>
              </w:rPr>
            </w:pPr>
          </w:p>
        </w:tc>
        <w:tc>
          <w:tcPr>
            <w:tcW w:w="516" w:type="dxa"/>
            <w:shd w:val="clear" w:color="auto" w:fill="BFBFBF" w:themeFill="background1" w:themeFillShade="BF"/>
          </w:tcPr>
          <w:p w14:paraId="4F641CF4" w14:textId="77777777" w:rsidR="0024372F" w:rsidRPr="00557DE6" w:rsidRDefault="0024372F" w:rsidP="0024372F">
            <w:pPr>
              <w:spacing w:after="0" w:line="240" w:lineRule="auto"/>
              <w:jc w:val="both"/>
              <w:rPr>
                <w:rFonts w:cs="Times New Roman"/>
                <w:sz w:val="20"/>
                <w:szCs w:val="20"/>
              </w:rPr>
            </w:pPr>
          </w:p>
        </w:tc>
        <w:tc>
          <w:tcPr>
            <w:tcW w:w="725" w:type="dxa"/>
            <w:shd w:val="clear" w:color="auto" w:fill="BFBFBF" w:themeFill="background1" w:themeFillShade="BF"/>
          </w:tcPr>
          <w:p w14:paraId="4EB792CF"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7387E4B1"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3F5D3DCE"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7718EA10" w14:textId="77777777" w:rsidR="0024372F" w:rsidRPr="00557DE6" w:rsidRDefault="0024372F" w:rsidP="0024372F">
            <w:pPr>
              <w:spacing w:after="0" w:line="240" w:lineRule="auto"/>
              <w:jc w:val="both"/>
              <w:rPr>
                <w:rFonts w:cs="Times New Roman"/>
                <w:sz w:val="20"/>
                <w:szCs w:val="20"/>
              </w:rPr>
            </w:pPr>
          </w:p>
        </w:tc>
        <w:tc>
          <w:tcPr>
            <w:tcW w:w="900" w:type="dxa"/>
            <w:shd w:val="clear" w:color="auto" w:fill="BFBFBF" w:themeFill="background1" w:themeFillShade="BF"/>
          </w:tcPr>
          <w:p w14:paraId="11D86D0A"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36DBCA9C"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28F8A26F" w14:textId="77777777" w:rsidR="0024372F" w:rsidRPr="00557DE6" w:rsidRDefault="0024372F" w:rsidP="0024372F">
            <w:pPr>
              <w:spacing w:after="0" w:line="240" w:lineRule="auto"/>
              <w:jc w:val="both"/>
              <w:rPr>
                <w:rFonts w:cs="Times New Roman"/>
                <w:sz w:val="20"/>
                <w:szCs w:val="20"/>
              </w:rPr>
            </w:pPr>
          </w:p>
        </w:tc>
      </w:tr>
      <w:tr w:rsidR="0024372F" w:rsidRPr="00557DE6" w14:paraId="6E1CDF30" w14:textId="77777777" w:rsidTr="005C1394">
        <w:trPr>
          <w:jc w:val="center"/>
        </w:trPr>
        <w:tc>
          <w:tcPr>
            <w:tcW w:w="1096" w:type="dxa"/>
            <w:shd w:val="clear" w:color="auto" w:fill="FFFFFF" w:themeFill="background1"/>
          </w:tcPr>
          <w:p w14:paraId="690BD417" w14:textId="77777777" w:rsidR="0024372F" w:rsidRPr="00557DE6" w:rsidRDefault="0024372F" w:rsidP="0024372F">
            <w:pPr>
              <w:spacing w:after="0" w:line="240" w:lineRule="auto"/>
              <w:jc w:val="both"/>
              <w:rPr>
                <w:rFonts w:cs="Times New Roman"/>
                <w:i/>
                <w:iCs/>
                <w:sz w:val="20"/>
                <w:szCs w:val="20"/>
              </w:rPr>
            </w:pPr>
            <w:r w:rsidRPr="00557DE6">
              <w:rPr>
                <w:rFonts w:cs="Times New Roman"/>
                <w:i/>
                <w:iCs/>
                <w:sz w:val="20"/>
                <w:szCs w:val="20"/>
              </w:rPr>
              <w:t xml:space="preserve">MSAVI </w:t>
            </w:r>
          </w:p>
        </w:tc>
        <w:tc>
          <w:tcPr>
            <w:tcW w:w="1443" w:type="dxa"/>
            <w:shd w:val="clear" w:color="auto" w:fill="BFBFBF" w:themeFill="background1" w:themeFillShade="BF"/>
          </w:tcPr>
          <w:p w14:paraId="05D4622E" w14:textId="77777777" w:rsidR="0024372F" w:rsidRPr="00557DE6" w:rsidRDefault="0024372F" w:rsidP="0024372F">
            <w:pPr>
              <w:spacing w:after="0" w:line="240" w:lineRule="auto"/>
              <w:jc w:val="both"/>
              <w:rPr>
                <w:rFonts w:cs="Times New Roman"/>
                <w:sz w:val="20"/>
                <w:szCs w:val="20"/>
              </w:rPr>
            </w:pPr>
          </w:p>
        </w:tc>
        <w:tc>
          <w:tcPr>
            <w:tcW w:w="516" w:type="dxa"/>
            <w:shd w:val="clear" w:color="auto" w:fill="BFBFBF" w:themeFill="background1" w:themeFillShade="BF"/>
          </w:tcPr>
          <w:p w14:paraId="3FC740CC" w14:textId="77777777" w:rsidR="0024372F" w:rsidRPr="00557DE6" w:rsidRDefault="0024372F" w:rsidP="0024372F">
            <w:pPr>
              <w:spacing w:after="0" w:line="240" w:lineRule="auto"/>
              <w:jc w:val="both"/>
              <w:rPr>
                <w:rFonts w:cs="Times New Roman"/>
                <w:sz w:val="20"/>
                <w:szCs w:val="20"/>
              </w:rPr>
            </w:pPr>
          </w:p>
        </w:tc>
        <w:tc>
          <w:tcPr>
            <w:tcW w:w="725" w:type="dxa"/>
            <w:shd w:val="clear" w:color="auto" w:fill="BFBFBF" w:themeFill="background1" w:themeFillShade="BF"/>
          </w:tcPr>
          <w:p w14:paraId="5A0DB3E4"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5ABB0D3D"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54F7CE13"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41A9A4D7" w14:textId="77777777" w:rsidR="0024372F" w:rsidRPr="00557DE6" w:rsidRDefault="0024372F" w:rsidP="0024372F">
            <w:pPr>
              <w:spacing w:after="0" w:line="240" w:lineRule="auto"/>
              <w:jc w:val="both"/>
              <w:rPr>
                <w:rFonts w:cs="Times New Roman"/>
                <w:sz w:val="20"/>
                <w:szCs w:val="20"/>
              </w:rPr>
            </w:pPr>
          </w:p>
        </w:tc>
        <w:tc>
          <w:tcPr>
            <w:tcW w:w="900" w:type="dxa"/>
            <w:shd w:val="clear" w:color="auto" w:fill="BFBFBF" w:themeFill="background1" w:themeFillShade="BF"/>
          </w:tcPr>
          <w:p w14:paraId="2425A233"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52CC4D0D" w14:textId="77777777" w:rsidR="0024372F" w:rsidRPr="00557DE6" w:rsidRDefault="0024372F" w:rsidP="0024372F">
            <w:pPr>
              <w:spacing w:after="0" w:line="240" w:lineRule="auto"/>
              <w:jc w:val="both"/>
              <w:rPr>
                <w:rFonts w:cs="Times New Roman"/>
                <w:sz w:val="20"/>
                <w:szCs w:val="20"/>
              </w:rPr>
            </w:pPr>
          </w:p>
        </w:tc>
        <w:tc>
          <w:tcPr>
            <w:tcW w:w="720" w:type="dxa"/>
            <w:shd w:val="clear" w:color="auto" w:fill="BFBFBF" w:themeFill="background1" w:themeFillShade="BF"/>
          </w:tcPr>
          <w:p w14:paraId="02B4D35A" w14:textId="77777777" w:rsidR="0024372F" w:rsidRPr="00557DE6" w:rsidRDefault="0024372F" w:rsidP="0024372F">
            <w:pPr>
              <w:spacing w:after="0" w:line="240" w:lineRule="auto"/>
              <w:jc w:val="both"/>
              <w:rPr>
                <w:rFonts w:cs="Times New Roman"/>
                <w:sz w:val="20"/>
                <w:szCs w:val="20"/>
              </w:rPr>
            </w:pPr>
          </w:p>
        </w:tc>
      </w:tr>
    </w:tbl>
    <w:p w14:paraId="64AB16D2" w14:textId="77777777" w:rsidR="0024372F" w:rsidRPr="0024372F" w:rsidRDefault="0024372F" w:rsidP="0024372F">
      <w:pPr>
        <w:spacing w:after="0" w:line="240" w:lineRule="auto"/>
        <w:jc w:val="both"/>
        <w:rPr>
          <w:rFonts w:cs="Times New Roman"/>
          <w:sz w:val="24"/>
          <w:szCs w:val="24"/>
        </w:rPr>
      </w:pPr>
    </w:p>
    <w:p w14:paraId="129753BA" w14:textId="104296DB" w:rsidR="0024372F" w:rsidRDefault="0024372F" w:rsidP="002027A9">
      <w:pPr>
        <w:pStyle w:val="A"/>
        <w:rPr>
          <w:lang w:val="en-US"/>
        </w:rPr>
      </w:pPr>
      <w:r w:rsidRPr="0024372F">
        <w:rPr>
          <w:lang w:val="en-US"/>
        </w:rPr>
        <w:t xml:space="preserve">Next, the values of the spectra for each index and resistivity were averaged </w:t>
      </w:r>
      <w:r w:rsidRPr="0024372F">
        <w:t>(</w:t>
      </w:r>
      <m:oMath>
        <m:r>
          <w:rPr>
            <w:rFonts w:ascii="Cambria Math" w:hAnsi="Cambria Math"/>
          </w:rPr>
          <m:t xml:space="preserve"> </m:t>
        </m:r>
        <m:bar>
          <m:barPr>
            <m:ctrlPr>
              <w:rPr>
                <w:rFonts w:ascii="Cambria Math" w:hAnsi="Cambria Math"/>
              </w:rPr>
            </m:ctrlPr>
          </m:barPr>
          <m:e>
            <m:r>
              <w:rPr>
                <w:rFonts w:ascii="Cambria Math" w:hAnsi="Cambria Math"/>
              </w:rPr>
              <m:t>x</m:t>
            </m:r>
          </m:e>
        </m:bar>
      </m:oMath>
      <w:r w:rsidRPr="0024372F">
        <w:t>) and (</w:t>
      </w:r>
      <m:oMath>
        <m:bar>
          <m:barPr>
            <m:ctrlPr>
              <w:rPr>
                <w:rFonts w:ascii="Cambria Math" w:hAnsi="Cambria Math"/>
              </w:rPr>
            </m:ctrlPr>
          </m:barPr>
          <m:e>
            <m:r>
              <w:rPr>
                <w:rFonts w:ascii="Cambria Math" w:hAnsi="Cambria Math"/>
              </w:rPr>
              <m:t>y</m:t>
            </m:r>
          </m:e>
        </m:bar>
      </m:oMath>
      <w:r w:rsidRPr="0024372F">
        <w:t xml:space="preserve">). Specifically, the </w:t>
      </w:r>
      <w:r w:rsidRPr="0024372F">
        <w:rPr>
          <w:i/>
          <w:iCs/>
        </w:rPr>
        <w:t>y</w:t>
      </w:r>
      <w:r w:rsidRPr="0024372F">
        <w:t xml:space="preserve"> value was determined from the resistivity indicator's value range. Finally, the parameter values for </w:t>
      </w:r>
      <w:r w:rsidRPr="0024372F">
        <w:rPr>
          <w:i/>
          <w:iCs/>
        </w:rPr>
        <w:t>x</w:t>
      </w:r>
      <w:r w:rsidRPr="0024372F">
        <w:t xml:space="preserve"> and </w:t>
      </w:r>
      <w:r w:rsidRPr="0024372F">
        <w:rPr>
          <w:i/>
          <w:iCs/>
        </w:rPr>
        <w:t>y</w:t>
      </w:r>
      <w:r w:rsidRPr="0024372F">
        <w:t xml:space="preserve"> will be used to calculate the </w:t>
      </w:r>
      <w:r w:rsidRPr="0024372F">
        <w:rPr>
          <w:i/>
          <w:iCs/>
        </w:rPr>
        <w:t>R</w:t>
      </w:r>
      <w:r w:rsidRPr="0024372F">
        <w:t xml:space="preserve"> values for each of the eight indices (NDVI, GNDVI, SR, MSR, DVI, RDVI, EVI, and MSAVI) against the Resistivity of the Ancient River (RAR) </w:t>
      </w:r>
      <w:r w:rsidRPr="0024372F">
        <w:rPr>
          <w:lang w:val="en-US"/>
        </w:rPr>
        <w:t xml:space="preserve">and resistivity of buried properties (RBP) were </w:t>
      </w:r>
      <w:r w:rsidRPr="0024372F">
        <w:t>using the formula as in Equation (1) and the result discussed</w:t>
      </w:r>
      <w:r w:rsidRPr="0024372F">
        <w:rPr>
          <w:lang w:val="en-US"/>
        </w:rPr>
        <w:t xml:space="preserve"> in section result and discussion. </w:t>
      </w:r>
    </w:p>
    <w:p w14:paraId="5273CD74" w14:textId="5B9D170E" w:rsidR="0024372F" w:rsidRPr="0024372F" w:rsidRDefault="0024372F" w:rsidP="002027A9">
      <w:pPr>
        <w:spacing w:after="0" w:line="240" w:lineRule="auto"/>
        <w:rPr>
          <w:rFonts w:cs="Times New Roman"/>
          <w:sz w:val="24"/>
          <w:szCs w:val="24"/>
        </w:rPr>
      </w:pPr>
      <m:oMath>
        <m:r>
          <w:rPr>
            <w:rFonts w:ascii="Cambria Math" w:hAnsi="Cambria Math" w:cs="Times New Roman"/>
            <w:sz w:val="24"/>
            <w:szCs w:val="24"/>
          </w:rPr>
          <w:lastRenderedPageBreak/>
          <m:t>r</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 xml:space="preserve">- </m:t>
                </m:r>
                <m:bar>
                  <m:barPr>
                    <m:ctrlPr>
                      <w:rPr>
                        <w:rFonts w:ascii="Cambria Math" w:hAnsi="Cambria Math" w:cs="Times New Roman"/>
                        <w:sz w:val="24"/>
                        <w:szCs w:val="24"/>
                      </w:rPr>
                    </m:ctrlPr>
                  </m:barPr>
                  <m:e>
                    <m:r>
                      <w:rPr>
                        <w:rFonts w:ascii="Cambria Math" w:hAnsi="Cambria Math" w:cs="Times New Roman"/>
                        <w:sz w:val="24"/>
                        <w:szCs w:val="24"/>
                      </w:rPr>
                      <m:t>x</m:t>
                    </m:r>
                  </m:e>
                </m:bar>
              </m:e>
            </m:d>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 xml:space="preserve">- </m:t>
                </m:r>
                <m:bar>
                  <m:barPr>
                    <m:ctrlPr>
                      <w:rPr>
                        <w:rFonts w:ascii="Cambria Math" w:hAnsi="Cambria Math" w:cs="Times New Roman"/>
                        <w:sz w:val="24"/>
                        <w:szCs w:val="24"/>
                      </w:rPr>
                    </m:ctrlPr>
                  </m:barPr>
                  <m:e>
                    <m:r>
                      <w:rPr>
                        <w:rFonts w:ascii="Cambria Math" w:hAnsi="Cambria Math" w:cs="Times New Roman"/>
                        <w:sz w:val="24"/>
                        <w:szCs w:val="24"/>
                      </w:rPr>
                      <m:t>y</m:t>
                    </m:r>
                  </m:e>
                </m:bar>
              </m:e>
            </m:d>
            <m:r>
              <m:rPr>
                <m:sty m:val="p"/>
              </m:rPr>
              <w:rPr>
                <w:rFonts w:ascii="Cambria Math" w:hAnsi="Cambria Math" w:cs="Times New Roman"/>
                <w:sz w:val="24"/>
                <w:szCs w:val="24"/>
              </w:rPr>
              <m:t xml:space="preserve"> </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 xml:space="preserve">- </m:t>
                        </m:r>
                        <m:bar>
                          <m:barPr>
                            <m:ctrlPr>
                              <w:rPr>
                                <w:rFonts w:ascii="Cambria Math" w:hAnsi="Cambria Math" w:cs="Times New Roman"/>
                                <w:sz w:val="24"/>
                                <w:szCs w:val="24"/>
                              </w:rPr>
                            </m:ctrlPr>
                          </m:barPr>
                          <m:e>
                            <m:r>
                              <w:rPr>
                                <w:rFonts w:ascii="Cambria Math" w:hAnsi="Cambria Math" w:cs="Times New Roman"/>
                                <w:sz w:val="24"/>
                                <w:szCs w:val="24"/>
                              </w:rPr>
                              <m:t>x</m:t>
                            </m:r>
                          </m:e>
                        </m:ba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 xml:space="preserve">- </m:t>
                        </m:r>
                        <m:bar>
                          <m:barPr>
                            <m:ctrlPr>
                              <w:rPr>
                                <w:rFonts w:ascii="Cambria Math" w:hAnsi="Cambria Math" w:cs="Times New Roman"/>
                                <w:sz w:val="24"/>
                                <w:szCs w:val="24"/>
                              </w:rPr>
                            </m:ctrlPr>
                          </m:barPr>
                          <m:e>
                            <m:r>
                              <w:rPr>
                                <w:rFonts w:ascii="Cambria Math" w:hAnsi="Cambria Math" w:cs="Times New Roman"/>
                                <w:sz w:val="24"/>
                                <w:szCs w:val="24"/>
                              </w:rPr>
                              <m:t>y</m:t>
                            </m:r>
                          </m:e>
                        </m:bar>
                      </m:e>
                    </m:d>
                  </m:e>
                  <m:sup>
                    <m:r>
                      <m:rPr>
                        <m:sty m:val="p"/>
                      </m:rPr>
                      <w:rPr>
                        <w:rFonts w:ascii="Cambria Math" w:hAnsi="Cambria Math" w:cs="Times New Roman"/>
                        <w:sz w:val="24"/>
                        <w:szCs w:val="24"/>
                      </w:rPr>
                      <m:t>2</m:t>
                    </m:r>
                  </m:sup>
                </m:sSup>
              </m:e>
            </m:rad>
          </m:den>
        </m:f>
      </m:oMath>
      <w:r w:rsidRPr="0024372F">
        <w:rPr>
          <w:rFonts w:cs="Times New Roman"/>
          <w:iCs/>
          <w:sz w:val="24"/>
          <w:szCs w:val="24"/>
        </w:rPr>
        <w:t xml:space="preserve">  </w:t>
      </w:r>
      <w:r w:rsidRPr="0024372F">
        <w:rPr>
          <w:rFonts w:cs="Times New Roman"/>
          <w:sz w:val="24"/>
          <w:szCs w:val="24"/>
        </w:rPr>
        <w:t xml:space="preserve">                                                    </w:t>
      </w:r>
      <w:r w:rsidRPr="0024372F">
        <w:rPr>
          <w:rFonts w:cs="Times New Roman"/>
          <w:sz w:val="24"/>
          <w:szCs w:val="24"/>
        </w:rPr>
        <w:tab/>
        <w:t xml:space="preserve">   </w:t>
      </w:r>
      <w:r w:rsidR="00557DE6">
        <w:rPr>
          <w:rFonts w:cs="Times New Roman"/>
          <w:sz w:val="24"/>
          <w:szCs w:val="24"/>
        </w:rPr>
        <w:tab/>
      </w:r>
      <w:r w:rsidR="00557DE6">
        <w:rPr>
          <w:rFonts w:cs="Times New Roman"/>
          <w:sz w:val="24"/>
          <w:szCs w:val="24"/>
        </w:rPr>
        <w:tab/>
      </w:r>
      <w:r w:rsidR="00557DE6">
        <w:rPr>
          <w:rFonts w:cs="Times New Roman"/>
          <w:sz w:val="24"/>
          <w:szCs w:val="24"/>
        </w:rPr>
        <w:tab/>
      </w:r>
      <w:r w:rsidR="00557DE6">
        <w:rPr>
          <w:rFonts w:cs="Times New Roman"/>
          <w:sz w:val="24"/>
          <w:szCs w:val="24"/>
        </w:rPr>
        <w:tab/>
      </w:r>
      <w:r w:rsidR="00557DE6">
        <w:rPr>
          <w:rFonts w:cs="Times New Roman"/>
          <w:sz w:val="24"/>
          <w:szCs w:val="24"/>
        </w:rPr>
        <w:tab/>
        <w:t xml:space="preserve">            </w:t>
      </w:r>
      <w:r w:rsidRPr="0024372F">
        <w:rPr>
          <w:rFonts w:cs="Times New Roman"/>
          <w:sz w:val="24"/>
          <w:szCs w:val="24"/>
        </w:rPr>
        <w:t xml:space="preserve">   (1)</w:t>
      </w:r>
    </w:p>
    <w:p w14:paraId="3F9DAE89" w14:textId="77777777" w:rsidR="0024372F" w:rsidRPr="0024372F" w:rsidRDefault="0024372F" w:rsidP="0024372F">
      <w:pPr>
        <w:spacing w:after="0" w:line="240" w:lineRule="auto"/>
        <w:jc w:val="both"/>
        <w:rPr>
          <w:rFonts w:cs="Times New Roman"/>
          <w:i/>
          <w:iCs/>
          <w:sz w:val="24"/>
          <w:szCs w:val="24"/>
        </w:rPr>
      </w:pPr>
    </w:p>
    <w:p w14:paraId="1F3D9DFB" w14:textId="5A3F6920" w:rsidR="0024372F" w:rsidRDefault="0024372F" w:rsidP="0024372F">
      <w:pPr>
        <w:spacing w:after="0" w:line="240" w:lineRule="auto"/>
        <w:jc w:val="both"/>
        <w:rPr>
          <w:rFonts w:cs="Times New Roman"/>
          <w:i/>
          <w:iCs/>
          <w:sz w:val="24"/>
          <w:szCs w:val="24"/>
        </w:rPr>
      </w:pPr>
      <w:r w:rsidRPr="0024372F">
        <w:rPr>
          <w:rFonts w:cs="Times New Roman"/>
          <w:i/>
          <w:iCs/>
          <w:sz w:val="24"/>
          <w:szCs w:val="24"/>
        </w:rPr>
        <w:t>3.1 New Method: Constant Experimental Evaluation</w:t>
      </w:r>
    </w:p>
    <w:p w14:paraId="4DB0CCB6" w14:textId="77777777" w:rsidR="002027A9" w:rsidRPr="0024372F" w:rsidRDefault="002027A9" w:rsidP="0024372F">
      <w:pPr>
        <w:spacing w:after="0" w:line="240" w:lineRule="auto"/>
        <w:jc w:val="both"/>
        <w:rPr>
          <w:rFonts w:cs="Times New Roman"/>
          <w:i/>
          <w:iCs/>
          <w:sz w:val="24"/>
          <w:szCs w:val="24"/>
        </w:rPr>
      </w:pPr>
    </w:p>
    <w:p w14:paraId="19E2625B" w14:textId="223E2831" w:rsidR="0024372F" w:rsidRDefault="0024372F" w:rsidP="002027A9">
      <w:pPr>
        <w:pStyle w:val="A"/>
        <w:rPr>
          <w:lang w:val="en-US"/>
        </w:rPr>
      </w:pPr>
      <w:r w:rsidRPr="0024372F">
        <w:rPr>
          <w:lang w:val="en-US"/>
        </w:rPr>
        <w:t xml:space="preserve">The "Constant Experimental Evaluation" (CEE) is developed further to emphasize the originality of the research. Based on the hypothesis, this technique seeks to answer whether NIR and RED wavelengths yield correct data, to begin with, or to what extent applying a new CEE method to these numbers improves their precision. In order to determine the optimal wavelengths, it is suggested that percentage increases and decreases should be used in an experimental setting. However, the maximum and minimum levels of the NIR and Red ranges must be considered when deciding on an increase or decrease in value. To overcome these limitations and achieve optimal results from the VIs algorithms, the existing linear regression technique must be modified by performing several calculations, with the percentage value indicating image optimization. The </w:t>
      </w:r>
      <w:r w:rsidRPr="0024372F">
        <w:rPr>
          <w:i/>
          <w:iCs/>
          <w:lang w:val="en-US"/>
        </w:rPr>
        <w:t>r</w:t>
      </w:r>
      <w:r w:rsidRPr="0024372F">
        <w:rPr>
          <w:lang w:val="en-US"/>
        </w:rPr>
        <w:t>-squared values derived from the spectral values will be generated afterwards via linear regression. Finally, the optimal spectral wavelength to detect the archaeological proxies in Sungai Batu will be obtaining new optimal wavelengths of NIR</w:t>
      </w:r>
      <w:r w:rsidRPr="0024372F">
        <w:rPr>
          <w:vertAlign w:val="subscript"/>
          <w:lang w:val="en-US"/>
        </w:rPr>
        <w:t>new</w:t>
      </w:r>
      <w:r w:rsidRPr="0024372F">
        <w:rPr>
          <w:lang w:val="en-US"/>
        </w:rPr>
        <w:t xml:space="preserve"> and Red</w:t>
      </w:r>
      <w:r w:rsidRPr="0024372F">
        <w:rPr>
          <w:vertAlign w:val="subscript"/>
          <w:lang w:val="en-US"/>
        </w:rPr>
        <w:t>new</w:t>
      </w:r>
      <w:r w:rsidRPr="0024372F">
        <w:rPr>
          <w:lang w:val="en-US"/>
        </w:rPr>
        <w:t xml:space="preserve"> with the improvement in accuracy value along with the percentage of image augmentation. </w:t>
      </w:r>
      <w:bookmarkStart w:id="4" w:name="_Hlk113967186"/>
      <w:r w:rsidRPr="0024372F">
        <w:rPr>
          <w:lang w:val="en-US"/>
        </w:rPr>
        <w:t>The overall idea is illustrated in the flow chart below (see Fig</w:t>
      </w:r>
      <w:r w:rsidR="00312EC0">
        <w:rPr>
          <w:lang w:val="en-US"/>
        </w:rPr>
        <w:t xml:space="preserve">ure </w:t>
      </w:r>
      <w:r w:rsidRPr="0024372F">
        <w:rPr>
          <w:lang w:val="en-US"/>
        </w:rPr>
        <w:t xml:space="preserve">5). </w:t>
      </w:r>
      <w:bookmarkEnd w:id="4"/>
    </w:p>
    <w:p w14:paraId="2926C807" w14:textId="77777777" w:rsidR="002027A9" w:rsidRPr="0024372F" w:rsidRDefault="002027A9" w:rsidP="002027A9">
      <w:pPr>
        <w:pStyle w:val="A"/>
        <w:rPr>
          <w:lang w:val="en-US"/>
        </w:rPr>
      </w:pPr>
    </w:p>
    <w:p w14:paraId="1CE3EB11" w14:textId="77777777" w:rsidR="0024372F" w:rsidRPr="0024372F" w:rsidRDefault="0024372F" w:rsidP="00557DE6">
      <w:pPr>
        <w:spacing w:after="0" w:line="240" w:lineRule="auto"/>
        <w:jc w:val="center"/>
        <w:rPr>
          <w:rFonts w:cs="Times New Roman"/>
          <w:sz w:val="24"/>
          <w:szCs w:val="24"/>
          <w:lang w:val="en-US"/>
        </w:rPr>
      </w:pPr>
      <w:r w:rsidRPr="0024372F">
        <w:rPr>
          <w:rFonts w:cs="Times New Roman"/>
          <w:noProof/>
          <w:sz w:val="24"/>
          <w:szCs w:val="24"/>
        </w:rPr>
        <w:drawing>
          <wp:inline distT="0" distB="0" distL="0" distR="0" wp14:anchorId="00010682" wp14:editId="42635EF3">
            <wp:extent cx="5946209" cy="2851150"/>
            <wp:effectExtent l="19050" t="19050" r="1651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a:extLst>
                        <a:ext uri="{28A0092B-C50C-407E-A947-70E740481C1C}">
                          <a14:useLocalDpi xmlns:a14="http://schemas.microsoft.com/office/drawing/2010/main" val="0"/>
                        </a:ext>
                      </a:extLst>
                    </a:blip>
                    <a:srcRect t="23089"/>
                    <a:stretch/>
                  </pic:blipFill>
                  <pic:spPr bwMode="auto">
                    <a:xfrm>
                      <a:off x="0" y="0"/>
                      <a:ext cx="5977043" cy="28659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EBDB2E1" w14:textId="39F0425B" w:rsidR="0024372F" w:rsidRPr="00557DE6" w:rsidRDefault="0024372F" w:rsidP="00557DE6">
      <w:pPr>
        <w:spacing w:after="0" w:line="240" w:lineRule="auto"/>
        <w:ind w:left="180" w:right="206"/>
        <w:jc w:val="both"/>
        <w:rPr>
          <w:rFonts w:cs="Times New Roman"/>
        </w:rPr>
      </w:pPr>
      <w:r w:rsidRPr="00557DE6">
        <w:rPr>
          <w:rFonts w:cs="Times New Roman"/>
          <w:b/>
          <w:bCs/>
        </w:rPr>
        <w:t>Fig.</w:t>
      </w:r>
      <w:r w:rsidR="00557DE6" w:rsidRPr="00557DE6">
        <w:rPr>
          <w:rFonts w:cs="Times New Roman"/>
          <w:b/>
          <w:bCs/>
        </w:rPr>
        <w:t xml:space="preserve"> </w:t>
      </w:r>
      <w:r w:rsidRPr="00557DE6">
        <w:rPr>
          <w:rFonts w:cs="Times New Roman"/>
          <w:b/>
          <w:bCs/>
        </w:rPr>
        <w:t>5.</w:t>
      </w:r>
      <w:r w:rsidRPr="00557DE6">
        <w:rPr>
          <w:rFonts w:cs="Times New Roman"/>
        </w:rPr>
        <w:t xml:space="preserve"> Flowchart illustrating the validation of the particular wavelength of archaeological proxies using the CEE approach</w:t>
      </w:r>
    </w:p>
    <w:p w14:paraId="36B4177A" w14:textId="77777777" w:rsidR="0024372F" w:rsidRPr="0024372F" w:rsidRDefault="0024372F" w:rsidP="0024372F">
      <w:pPr>
        <w:spacing w:after="0" w:line="240" w:lineRule="auto"/>
        <w:jc w:val="both"/>
        <w:rPr>
          <w:rFonts w:cs="Times New Roman"/>
          <w:sz w:val="24"/>
          <w:szCs w:val="24"/>
        </w:rPr>
      </w:pPr>
    </w:p>
    <w:p w14:paraId="35F563AF" w14:textId="77777777" w:rsidR="0024372F" w:rsidRPr="0024372F" w:rsidRDefault="0024372F" w:rsidP="0024372F">
      <w:pPr>
        <w:spacing w:after="0" w:line="240" w:lineRule="auto"/>
        <w:jc w:val="both"/>
        <w:rPr>
          <w:rFonts w:cs="Times New Roman"/>
          <w:b/>
          <w:bCs/>
          <w:sz w:val="24"/>
          <w:szCs w:val="24"/>
          <w:lang w:val="en-US"/>
        </w:rPr>
      </w:pPr>
      <w:r w:rsidRPr="0024372F">
        <w:rPr>
          <w:rFonts w:cs="Times New Roman"/>
          <w:b/>
          <w:bCs/>
          <w:sz w:val="24"/>
          <w:szCs w:val="24"/>
          <w:lang w:val="en-US"/>
        </w:rPr>
        <w:t xml:space="preserve">4. </w:t>
      </w:r>
      <w:r w:rsidRPr="0024372F">
        <w:rPr>
          <w:rFonts w:cs="Times New Roman"/>
          <w:b/>
          <w:bCs/>
          <w:sz w:val="24"/>
          <w:szCs w:val="24"/>
          <w:lang w:val="x-none"/>
        </w:rPr>
        <w:t xml:space="preserve">Results </w:t>
      </w:r>
      <w:r w:rsidRPr="0024372F">
        <w:rPr>
          <w:rFonts w:cs="Times New Roman"/>
          <w:b/>
          <w:bCs/>
          <w:sz w:val="24"/>
          <w:szCs w:val="24"/>
          <w:lang w:val="en-US"/>
        </w:rPr>
        <w:t>and Discussion</w:t>
      </w:r>
    </w:p>
    <w:p w14:paraId="21FE0B8A" w14:textId="4FD48E02" w:rsidR="0024372F" w:rsidRDefault="0024372F" w:rsidP="0024372F">
      <w:pPr>
        <w:spacing w:after="0" w:line="240" w:lineRule="auto"/>
        <w:jc w:val="both"/>
        <w:rPr>
          <w:rFonts w:cs="Times New Roman"/>
          <w:i/>
          <w:iCs/>
          <w:sz w:val="24"/>
          <w:szCs w:val="24"/>
          <w:lang w:val="en-US"/>
        </w:rPr>
      </w:pPr>
      <w:r w:rsidRPr="0024372F">
        <w:rPr>
          <w:rFonts w:cs="Times New Roman"/>
          <w:i/>
          <w:iCs/>
          <w:sz w:val="24"/>
          <w:szCs w:val="24"/>
          <w:lang w:val="en-US"/>
        </w:rPr>
        <w:t>4.1 Preliminary Optimal Spectral Wavelength</w:t>
      </w:r>
    </w:p>
    <w:p w14:paraId="2858B7EC" w14:textId="77777777" w:rsidR="002027A9" w:rsidRPr="0024372F" w:rsidRDefault="002027A9" w:rsidP="0024372F">
      <w:pPr>
        <w:spacing w:after="0" w:line="240" w:lineRule="auto"/>
        <w:jc w:val="both"/>
        <w:rPr>
          <w:rFonts w:cs="Times New Roman"/>
          <w:i/>
          <w:iCs/>
          <w:sz w:val="24"/>
          <w:szCs w:val="24"/>
          <w:lang w:val="en-US"/>
        </w:rPr>
      </w:pPr>
    </w:p>
    <w:p w14:paraId="2A0D743E" w14:textId="6E94A05D" w:rsidR="0024372F" w:rsidRDefault="0024372F" w:rsidP="002027A9">
      <w:pPr>
        <w:pStyle w:val="A"/>
        <w:rPr>
          <w:lang w:val="en-US"/>
        </w:rPr>
      </w:pPr>
      <w:r w:rsidRPr="0024372F">
        <w:rPr>
          <w:lang w:val="en-US"/>
        </w:rPr>
        <w:t>In order to figure out the relationship between spectral Vegetation Indexes (VIs) and ERTs and to confirm the preliminary specific wavelengths of proxies, statistical analysis was used. The correlation coefficient (</w:t>
      </w:r>
      <w:r w:rsidRPr="0024372F">
        <w:rPr>
          <w:i/>
          <w:iCs/>
          <w:lang w:val="en-US"/>
        </w:rPr>
        <w:t>r</w:t>
      </w:r>
      <w:r w:rsidRPr="0024372F">
        <w:rPr>
          <w:lang w:val="en-US"/>
        </w:rPr>
        <w:t xml:space="preserve">) was utilized to compare the different correlations between several VIs with a specific spectral wavelength of </w:t>
      </w:r>
      <w:r w:rsidRPr="0024372F">
        <w:rPr>
          <w:i/>
          <w:iCs/>
          <w:lang w:val="en-US"/>
        </w:rPr>
        <w:t>ρ</w:t>
      </w:r>
      <w:r w:rsidRPr="0024372F">
        <w:rPr>
          <w:lang w:val="en-US"/>
        </w:rPr>
        <w:t xml:space="preserve">NIR µm and </w:t>
      </w:r>
      <w:r w:rsidRPr="0024372F">
        <w:rPr>
          <w:i/>
          <w:iCs/>
          <w:lang w:val="en-US"/>
        </w:rPr>
        <w:t>ρ</w:t>
      </w:r>
      <w:r w:rsidRPr="0024372F">
        <w:rPr>
          <w:lang w:val="en-US"/>
        </w:rPr>
        <w:t xml:space="preserve">Red µm against the resistivity data. All indices, NDVI, GNDVI, SR, MSR, DVI, RDVI, EVI, and MSAVI, were then calculated as a mean value </w:t>
      </w:r>
      <w:r w:rsidRPr="0024372F">
        <w:rPr>
          <w:i/>
          <w:iCs/>
          <w:lang w:val="en-US"/>
        </w:rPr>
        <w:t>(x ̅).</w:t>
      </w:r>
      <w:r w:rsidRPr="0024372F">
        <w:rPr>
          <w:lang w:val="en-US"/>
        </w:rPr>
        <w:t xml:space="preserve"> Next, two separate resistivity data of Buried Properties (BRP) and Ancient River (RAR) were also calculated as a mean </w:t>
      </w:r>
      <w:r w:rsidRPr="0024372F">
        <w:rPr>
          <w:lang w:val="en-US"/>
        </w:rPr>
        <w:lastRenderedPageBreak/>
        <w:t xml:space="preserve">value </w:t>
      </w:r>
      <w:r w:rsidRPr="0024372F">
        <w:rPr>
          <w:i/>
          <w:iCs/>
          <w:lang w:val="en-US"/>
        </w:rPr>
        <w:t>(y ̅)</w:t>
      </w:r>
      <w:r w:rsidRPr="0024372F">
        <w:rPr>
          <w:lang w:val="en-US"/>
        </w:rPr>
        <w:t xml:space="preserve"> for the r calculation. All BRP and RAR resistivity readings were purposefully selected from the resistivity indicator's range of values. The ranges of 1312.5 Ω-m to 3500 Ω-m and 21.25 Ω-m to 100 Ω-m are used as decision parameters for BRP and RAR, respectively. Table 4 displayed the comprehensive analysis for additional summative results. The median spectral results benchmark the preliminary wavelength values in determining the ideal spectral wavelengths. Therefore, the most significant spectral wavelength is Proposed Spectral 1 (PS-1), which ranges from NIR=0.825µm to Red=0.66µm and is relatively close to the median spectral result for each VIs sample.</w:t>
      </w:r>
    </w:p>
    <w:p w14:paraId="56D90280" w14:textId="77777777" w:rsidR="002027A9" w:rsidRPr="0024372F" w:rsidRDefault="002027A9" w:rsidP="002027A9">
      <w:pPr>
        <w:pStyle w:val="A"/>
        <w:rPr>
          <w:lang w:val="en-US"/>
        </w:rPr>
      </w:pPr>
    </w:p>
    <w:p w14:paraId="0CEA464A" w14:textId="75AF84BF" w:rsidR="00557DE6" w:rsidRPr="00557DE6" w:rsidRDefault="0024372F" w:rsidP="000A5BEF">
      <w:pPr>
        <w:spacing w:after="0" w:line="240" w:lineRule="auto"/>
        <w:ind w:left="360"/>
        <w:jc w:val="both"/>
        <w:rPr>
          <w:rFonts w:cs="Times New Roman"/>
          <w:b/>
          <w:bCs/>
        </w:rPr>
      </w:pPr>
      <w:r w:rsidRPr="00557DE6">
        <w:rPr>
          <w:rFonts w:cs="Times New Roman"/>
          <w:b/>
          <w:bCs/>
        </w:rPr>
        <w:t>Table</w:t>
      </w:r>
      <w:r w:rsidR="00557DE6" w:rsidRPr="00557DE6">
        <w:rPr>
          <w:rFonts w:cs="Times New Roman"/>
          <w:b/>
          <w:bCs/>
        </w:rPr>
        <w:t xml:space="preserve"> </w:t>
      </w:r>
      <w:r w:rsidRPr="00557DE6">
        <w:rPr>
          <w:rFonts w:cs="Times New Roman"/>
          <w:b/>
          <w:bCs/>
        </w:rPr>
        <w:t>4</w:t>
      </w:r>
    </w:p>
    <w:p w14:paraId="61313075" w14:textId="6984825A" w:rsidR="0024372F" w:rsidRPr="00557DE6" w:rsidRDefault="0024372F" w:rsidP="000A5BEF">
      <w:pPr>
        <w:spacing w:after="0" w:line="240" w:lineRule="auto"/>
        <w:ind w:left="360"/>
        <w:jc w:val="both"/>
        <w:rPr>
          <w:rFonts w:cs="Times New Roman"/>
          <w:lang w:val="en-US"/>
        </w:rPr>
      </w:pPr>
      <w:r w:rsidRPr="00557DE6">
        <w:rPr>
          <w:rFonts w:cs="Times New Roman"/>
          <w:lang w:val="en-US"/>
        </w:rPr>
        <w:t>Result of the VI algorithms with a specific wavelength and spectral median of each index</w:t>
      </w:r>
    </w:p>
    <w:tbl>
      <w:tblPr>
        <w:tblStyle w:val="GridTable1Light-Accent11"/>
        <w:tblW w:w="9175"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2"/>
        <w:gridCol w:w="1183"/>
        <w:gridCol w:w="900"/>
        <w:gridCol w:w="630"/>
        <w:gridCol w:w="630"/>
        <w:gridCol w:w="630"/>
        <w:gridCol w:w="630"/>
        <w:gridCol w:w="810"/>
        <w:gridCol w:w="720"/>
        <w:gridCol w:w="810"/>
        <w:gridCol w:w="900"/>
      </w:tblGrid>
      <w:tr w:rsidR="000A5BEF" w:rsidRPr="009555D2" w14:paraId="3B83BC05" w14:textId="77777777" w:rsidTr="005C13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uto"/>
              <w:bottom w:val="single" w:sz="4" w:space="0" w:color="auto"/>
            </w:tcBorders>
          </w:tcPr>
          <w:p w14:paraId="1E20D6A7" w14:textId="78A2145D" w:rsidR="000A5BEF" w:rsidRPr="000A5BEF" w:rsidRDefault="000A5BEF" w:rsidP="000A5BEF">
            <w:pPr>
              <w:autoSpaceDE w:val="0"/>
              <w:autoSpaceDN w:val="0"/>
              <w:adjustRightInd w:val="0"/>
              <w:rPr>
                <w:rFonts w:asciiTheme="minorHAnsi" w:eastAsia="Yu Mincho" w:hAnsiTheme="minorHAnsi" w:cstheme="minorHAnsi"/>
                <w:b w:val="0"/>
                <w:bCs w:val="0"/>
                <w:sz w:val="18"/>
                <w:szCs w:val="18"/>
                <w:lang w:val="en-GB"/>
              </w:rPr>
            </w:pPr>
            <w:bookmarkStart w:id="5" w:name="_Hlk37277992"/>
            <w:r w:rsidRPr="000A5BEF">
              <w:rPr>
                <w:rFonts w:asciiTheme="minorHAnsi" w:eastAsia="Yu Mincho" w:hAnsiTheme="minorHAnsi" w:cstheme="minorHAnsi"/>
                <w:b w:val="0"/>
                <w:bCs w:val="0"/>
                <w:sz w:val="18"/>
                <w:szCs w:val="18"/>
                <w:lang w:val="en-GB"/>
              </w:rPr>
              <w:t>Algorithms</w:t>
            </w:r>
          </w:p>
        </w:tc>
        <w:tc>
          <w:tcPr>
            <w:tcW w:w="1183" w:type="dxa"/>
            <w:tcBorders>
              <w:top w:val="single" w:sz="4" w:space="0" w:color="auto"/>
              <w:bottom w:val="single" w:sz="4" w:space="0" w:color="auto"/>
            </w:tcBorders>
          </w:tcPr>
          <w:p w14:paraId="6CD7955D"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sz w:val="18"/>
                <w:szCs w:val="18"/>
                <w:lang w:val="en-GB"/>
              </w:rPr>
              <w:t>Wavelength</w:t>
            </w:r>
          </w:p>
          <w:p w14:paraId="258A02AE"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sz w:val="18"/>
                <w:szCs w:val="18"/>
                <w:lang w:val="en-GB"/>
              </w:rPr>
              <w:t>(nm)</w:t>
            </w:r>
          </w:p>
        </w:tc>
        <w:tc>
          <w:tcPr>
            <w:tcW w:w="900" w:type="dxa"/>
            <w:tcBorders>
              <w:top w:val="single" w:sz="4" w:space="0" w:color="auto"/>
              <w:bottom w:val="single" w:sz="4" w:space="0" w:color="auto"/>
            </w:tcBorders>
          </w:tcPr>
          <w:p w14:paraId="3A958449"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sz w:val="18"/>
                <w:szCs w:val="18"/>
                <w:lang w:val="en-GB"/>
              </w:rPr>
              <w:t>AI</w:t>
            </w:r>
          </w:p>
          <w:p w14:paraId="1500AB68" w14:textId="77777777" w:rsidR="000A5BEF" w:rsidRPr="000A5BEF" w:rsidRDefault="000A5BEF" w:rsidP="00154FC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sz w:val="18"/>
                <w:szCs w:val="18"/>
                <w:lang w:val="en-GB"/>
              </w:rPr>
              <w:t>(Agapiou et al., 2012)</w:t>
            </w:r>
          </w:p>
        </w:tc>
        <w:tc>
          <w:tcPr>
            <w:tcW w:w="630" w:type="dxa"/>
            <w:tcBorders>
              <w:top w:val="single" w:sz="4" w:space="0" w:color="auto"/>
              <w:bottom w:val="single" w:sz="4" w:space="0" w:color="auto"/>
            </w:tcBorders>
            <w:shd w:val="clear" w:color="auto" w:fill="00B0F0"/>
          </w:tcPr>
          <w:p w14:paraId="55BC61D0"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i/>
                <w:iCs/>
                <w:sz w:val="18"/>
                <w:szCs w:val="18"/>
                <w:lang w:val="en-GB"/>
              </w:rPr>
            </w:pPr>
            <w:r w:rsidRPr="000A5BEF">
              <w:rPr>
                <w:rFonts w:asciiTheme="minorHAnsi" w:eastAsia="Yu Mincho" w:hAnsiTheme="minorHAnsi" w:cstheme="minorHAnsi"/>
                <w:b w:val="0"/>
                <w:bCs w:val="0"/>
                <w:i/>
                <w:iCs/>
                <w:sz w:val="18"/>
                <w:szCs w:val="18"/>
                <w:lang w:val="en-GB"/>
              </w:rPr>
              <w:t>PS- 1</w:t>
            </w:r>
          </w:p>
        </w:tc>
        <w:tc>
          <w:tcPr>
            <w:tcW w:w="630" w:type="dxa"/>
            <w:tcBorders>
              <w:top w:val="single" w:sz="4" w:space="0" w:color="auto"/>
              <w:bottom w:val="single" w:sz="4" w:space="0" w:color="auto"/>
            </w:tcBorders>
          </w:tcPr>
          <w:p w14:paraId="370148C5"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i/>
                <w:iCs/>
                <w:sz w:val="18"/>
                <w:szCs w:val="18"/>
                <w:lang w:val="en-GB"/>
              </w:rPr>
            </w:pPr>
            <w:r w:rsidRPr="000A5BEF">
              <w:rPr>
                <w:rFonts w:asciiTheme="minorHAnsi" w:eastAsia="Yu Mincho" w:hAnsiTheme="minorHAnsi" w:cstheme="minorHAnsi"/>
                <w:b w:val="0"/>
                <w:bCs w:val="0"/>
                <w:i/>
                <w:iCs/>
                <w:sz w:val="18"/>
                <w:szCs w:val="18"/>
                <w:lang w:val="en-GB"/>
              </w:rPr>
              <w:t>PS- 2</w:t>
            </w:r>
          </w:p>
        </w:tc>
        <w:tc>
          <w:tcPr>
            <w:tcW w:w="630" w:type="dxa"/>
            <w:tcBorders>
              <w:top w:val="single" w:sz="4" w:space="0" w:color="auto"/>
              <w:bottom w:val="single" w:sz="4" w:space="0" w:color="auto"/>
            </w:tcBorders>
          </w:tcPr>
          <w:p w14:paraId="47519019"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i/>
                <w:iCs/>
                <w:sz w:val="18"/>
                <w:szCs w:val="18"/>
                <w:lang w:val="en-GB"/>
              </w:rPr>
            </w:pPr>
            <w:r w:rsidRPr="000A5BEF">
              <w:rPr>
                <w:rFonts w:asciiTheme="minorHAnsi" w:eastAsia="Yu Mincho" w:hAnsiTheme="minorHAnsi" w:cstheme="minorHAnsi"/>
                <w:b w:val="0"/>
                <w:bCs w:val="0"/>
                <w:i/>
                <w:iCs/>
                <w:sz w:val="18"/>
                <w:szCs w:val="18"/>
                <w:lang w:val="en-GB"/>
              </w:rPr>
              <w:t>PS- 3</w:t>
            </w:r>
          </w:p>
        </w:tc>
        <w:tc>
          <w:tcPr>
            <w:tcW w:w="630" w:type="dxa"/>
            <w:tcBorders>
              <w:top w:val="single" w:sz="4" w:space="0" w:color="auto"/>
              <w:bottom w:val="single" w:sz="4" w:space="0" w:color="auto"/>
            </w:tcBorders>
          </w:tcPr>
          <w:p w14:paraId="1F11E374"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sz w:val="18"/>
                <w:szCs w:val="18"/>
                <w:lang w:val="en-GB"/>
              </w:rPr>
              <w:t>Iron</w:t>
            </w:r>
          </w:p>
        </w:tc>
        <w:tc>
          <w:tcPr>
            <w:tcW w:w="810" w:type="dxa"/>
            <w:tcBorders>
              <w:top w:val="single" w:sz="4" w:space="0" w:color="auto"/>
              <w:bottom w:val="single" w:sz="4" w:space="0" w:color="auto"/>
            </w:tcBorders>
          </w:tcPr>
          <w:p w14:paraId="0C4FA0DA"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sz w:val="18"/>
                <w:szCs w:val="18"/>
                <w:lang w:val="en-GB"/>
              </w:rPr>
              <w:t>Granite</w:t>
            </w:r>
          </w:p>
        </w:tc>
        <w:tc>
          <w:tcPr>
            <w:tcW w:w="720" w:type="dxa"/>
            <w:tcBorders>
              <w:top w:val="single" w:sz="4" w:space="0" w:color="auto"/>
              <w:bottom w:val="single" w:sz="4" w:space="0" w:color="auto"/>
            </w:tcBorders>
          </w:tcPr>
          <w:p w14:paraId="65DA7826"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sz w:val="18"/>
                <w:szCs w:val="18"/>
                <w:lang w:val="en-GB"/>
              </w:rPr>
              <w:t>Brick</w:t>
            </w:r>
          </w:p>
        </w:tc>
        <w:tc>
          <w:tcPr>
            <w:tcW w:w="810" w:type="dxa"/>
            <w:tcBorders>
              <w:top w:val="single" w:sz="4" w:space="0" w:color="auto"/>
              <w:bottom w:val="single" w:sz="4" w:space="0" w:color="auto"/>
            </w:tcBorders>
          </w:tcPr>
          <w:p w14:paraId="09404969"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sz w:val="18"/>
                <w:szCs w:val="18"/>
                <w:lang w:val="en-GB"/>
              </w:rPr>
              <w:t>Sarris et al. (2013)</w:t>
            </w:r>
          </w:p>
        </w:tc>
        <w:tc>
          <w:tcPr>
            <w:tcW w:w="900" w:type="dxa"/>
            <w:tcBorders>
              <w:top w:val="single" w:sz="4" w:space="0" w:color="auto"/>
              <w:bottom w:val="single" w:sz="4" w:space="0" w:color="auto"/>
            </w:tcBorders>
          </w:tcPr>
          <w:p w14:paraId="024D0170"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sz w:val="18"/>
                <w:szCs w:val="18"/>
                <w:lang w:val="en-GB"/>
              </w:rPr>
              <w:t>Spectral</w:t>
            </w:r>
          </w:p>
          <w:p w14:paraId="5F3CD351" w14:textId="77777777" w:rsidR="000A5BEF" w:rsidRPr="000A5BEF" w:rsidRDefault="000A5BEF"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sz w:val="18"/>
                <w:szCs w:val="18"/>
                <w:lang w:val="en-GB"/>
              </w:rPr>
              <w:t>Med.</w:t>
            </w:r>
          </w:p>
        </w:tc>
      </w:tr>
      <w:tr w:rsidR="000A5BEF" w:rsidRPr="009555D2" w14:paraId="390BF034"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332" w:type="dxa"/>
            <w:vMerge/>
            <w:tcBorders>
              <w:top w:val="single" w:sz="4" w:space="0" w:color="auto"/>
            </w:tcBorders>
          </w:tcPr>
          <w:p w14:paraId="47D0E462" w14:textId="77777777" w:rsidR="000A5BEF" w:rsidRPr="009555D2" w:rsidRDefault="000A5BEF" w:rsidP="00154FCA">
            <w:pPr>
              <w:autoSpaceDE w:val="0"/>
              <w:autoSpaceDN w:val="0"/>
              <w:adjustRightInd w:val="0"/>
              <w:jc w:val="both"/>
              <w:rPr>
                <w:rFonts w:asciiTheme="minorHAnsi" w:eastAsia="Yu Mincho" w:hAnsiTheme="minorHAnsi" w:cstheme="minorHAnsi"/>
                <w:sz w:val="18"/>
                <w:szCs w:val="18"/>
                <w:lang w:val="en-GB"/>
              </w:rPr>
            </w:pPr>
          </w:p>
        </w:tc>
        <w:tc>
          <w:tcPr>
            <w:tcW w:w="1183" w:type="dxa"/>
            <w:tcBorders>
              <w:top w:val="single" w:sz="4" w:space="0" w:color="auto"/>
            </w:tcBorders>
          </w:tcPr>
          <w:p w14:paraId="33D651E7" w14:textId="77777777" w:rsidR="000A5BEF" w:rsidRPr="009555D2" w:rsidRDefault="000A5BEF"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NIR</w:t>
            </w:r>
          </w:p>
        </w:tc>
        <w:tc>
          <w:tcPr>
            <w:tcW w:w="900" w:type="dxa"/>
            <w:tcBorders>
              <w:top w:val="single" w:sz="4" w:space="0" w:color="auto"/>
            </w:tcBorders>
          </w:tcPr>
          <w:p w14:paraId="4010DDA4"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0.8</w:t>
            </w:r>
          </w:p>
        </w:tc>
        <w:tc>
          <w:tcPr>
            <w:tcW w:w="630" w:type="dxa"/>
            <w:tcBorders>
              <w:top w:val="single" w:sz="4" w:space="0" w:color="auto"/>
            </w:tcBorders>
            <w:shd w:val="clear" w:color="auto" w:fill="00B0F0"/>
          </w:tcPr>
          <w:p w14:paraId="6213A46F"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0.825</w:t>
            </w:r>
          </w:p>
        </w:tc>
        <w:tc>
          <w:tcPr>
            <w:tcW w:w="630" w:type="dxa"/>
            <w:tcBorders>
              <w:top w:val="single" w:sz="4" w:space="0" w:color="auto"/>
            </w:tcBorders>
          </w:tcPr>
          <w:p w14:paraId="26981795"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0.9</w:t>
            </w:r>
          </w:p>
        </w:tc>
        <w:tc>
          <w:tcPr>
            <w:tcW w:w="630" w:type="dxa"/>
            <w:tcBorders>
              <w:top w:val="single" w:sz="4" w:space="0" w:color="auto"/>
            </w:tcBorders>
          </w:tcPr>
          <w:p w14:paraId="33CD8021"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0.760</w:t>
            </w:r>
          </w:p>
        </w:tc>
        <w:tc>
          <w:tcPr>
            <w:tcW w:w="630" w:type="dxa"/>
            <w:tcBorders>
              <w:top w:val="single" w:sz="4" w:space="0" w:color="auto"/>
            </w:tcBorders>
          </w:tcPr>
          <w:p w14:paraId="6DB93306"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0.935</w:t>
            </w:r>
          </w:p>
        </w:tc>
        <w:tc>
          <w:tcPr>
            <w:tcW w:w="810" w:type="dxa"/>
            <w:tcBorders>
              <w:top w:val="single" w:sz="4" w:space="0" w:color="auto"/>
            </w:tcBorders>
          </w:tcPr>
          <w:p w14:paraId="74E7607E"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0.968</w:t>
            </w:r>
          </w:p>
        </w:tc>
        <w:tc>
          <w:tcPr>
            <w:tcW w:w="720" w:type="dxa"/>
            <w:tcBorders>
              <w:top w:val="single" w:sz="4" w:space="0" w:color="auto"/>
            </w:tcBorders>
          </w:tcPr>
          <w:p w14:paraId="6B6DB097"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0.947</w:t>
            </w:r>
          </w:p>
        </w:tc>
        <w:tc>
          <w:tcPr>
            <w:tcW w:w="810" w:type="dxa"/>
            <w:tcBorders>
              <w:top w:val="single" w:sz="4" w:space="0" w:color="auto"/>
            </w:tcBorders>
          </w:tcPr>
          <w:p w14:paraId="6A1C8392"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0.9</w:t>
            </w:r>
          </w:p>
        </w:tc>
        <w:tc>
          <w:tcPr>
            <w:tcW w:w="900" w:type="dxa"/>
            <w:tcBorders>
              <w:top w:val="single" w:sz="4" w:space="0" w:color="auto"/>
            </w:tcBorders>
          </w:tcPr>
          <w:p w14:paraId="62F05579"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r>
      <w:tr w:rsidR="000A5BEF" w:rsidRPr="009555D2" w14:paraId="3BFBB412"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332" w:type="dxa"/>
            <w:vMerge/>
          </w:tcPr>
          <w:p w14:paraId="1A0ACE4A" w14:textId="77777777" w:rsidR="000A5BEF" w:rsidRPr="009555D2" w:rsidRDefault="000A5BEF" w:rsidP="00154FCA">
            <w:pPr>
              <w:autoSpaceDE w:val="0"/>
              <w:autoSpaceDN w:val="0"/>
              <w:adjustRightInd w:val="0"/>
              <w:jc w:val="both"/>
              <w:rPr>
                <w:rFonts w:asciiTheme="minorHAnsi" w:eastAsia="Yu Mincho" w:hAnsiTheme="minorHAnsi" w:cstheme="minorHAnsi"/>
                <w:sz w:val="18"/>
                <w:szCs w:val="18"/>
                <w:lang w:val="en-GB"/>
              </w:rPr>
            </w:pPr>
          </w:p>
        </w:tc>
        <w:tc>
          <w:tcPr>
            <w:tcW w:w="1183" w:type="dxa"/>
          </w:tcPr>
          <w:p w14:paraId="2B98A6BB" w14:textId="77777777" w:rsidR="000A5BEF" w:rsidRPr="009555D2" w:rsidRDefault="000A5BEF"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Red</w:t>
            </w:r>
          </w:p>
        </w:tc>
        <w:tc>
          <w:tcPr>
            <w:tcW w:w="900" w:type="dxa"/>
          </w:tcPr>
          <w:p w14:paraId="1A41101B"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0.7</w:t>
            </w:r>
          </w:p>
        </w:tc>
        <w:tc>
          <w:tcPr>
            <w:tcW w:w="630" w:type="dxa"/>
            <w:shd w:val="clear" w:color="auto" w:fill="00B0F0"/>
          </w:tcPr>
          <w:p w14:paraId="4D1389D0"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0.66</w:t>
            </w:r>
          </w:p>
        </w:tc>
        <w:tc>
          <w:tcPr>
            <w:tcW w:w="630" w:type="dxa"/>
          </w:tcPr>
          <w:p w14:paraId="019ADEA3"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0.67</w:t>
            </w:r>
          </w:p>
        </w:tc>
        <w:tc>
          <w:tcPr>
            <w:tcW w:w="630" w:type="dxa"/>
          </w:tcPr>
          <w:p w14:paraId="2D5BC02C"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0.640</w:t>
            </w:r>
          </w:p>
        </w:tc>
        <w:tc>
          <w:tcPr>
            <w:tcW w:w="630" w:type="dxa"/>
          </w:tcPr>
          <w:p w14:paraId="33E8313A"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0.7</w:t>
            </w:r>
          </w:p>
        </w:tc>
        <w:tc>
          <w:tcPr>
            <w:tcW w:w="810" w:type="dxa"/>
          </w:tcPr>
          <w:p w14:paraId="6DB549DC"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0.7</w:t>
            </w:r>
          </w:p>
        </w:tc>
        <w:tc>
          <w:tcPr>
            <w:tcW w:w="720" w:type="dxa"/>
          </w:tcPr>
          <w:p w14:paraId="5EDF5F90"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0.7</w:t>
            </w:r>
          </w:p>
        </w:tc>
        <w:tc>
          <w:tcPr>
            <w:tcW w:w="810" w:type="dxa"/>
          </w:tcPr>
          <w:p w14:paraId="3A62096E"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0.69</w:t>
            </w:r>
          </w:p>
        </w:tc>
        <w:tc>
          <w:tcPr>
            <w:tcW w:w="900" w:type="dxa"/>
          </w:tcPr>
          <w:p w14:paraId="5E108CF0"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r>
      <w:tr w:rsidR="000A5BEF" w:rsidRPr="009555D2" w14:paraId="73D1FEBA"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332" w:type="dxa"/>
            <w:vMerge/>
          </w:tcPr>
          <w:p w14:paraId="4237EB0F" w14:textId="77777777" w:rsidR="000A5BEF" w:rsidRPr="009555D2" w:rsidRDefault="000A5BEF" w:rsidP="00154FCA">
            <w:pPr>
              <w:autoSpaceDE w:val="0"/>
              <w:autoSpaceDN w:val="0"/>
              <w:adjustRightInd w:val="0"/>
              <w:jc w:val="both"/>
              <w:rPr>
                <w:rFonts w:asciiTheme="minorHAnsi" w:eastAsia="Yu Mincho" w:hAnsiTheme="minorHAnsi" w:cstheme="minorHAnsi"/>
                <w:sz w:val="18"/>
                <w:szCs w:val="18"/>
                <w:lang w:val="en-GB"/>
              </w:rPr>
            </w:pPr>
          </w:p>
        </w:tc>
        <w:tc>
          <w:tcPr>
            <w:tcW w:w="1183" w:type="dxa"/>
          </w:tcPr>
          <w:p w14:paraId="76417417" w14:textId="77777777" w:rsidR="000A5BEF" w:rsidRPr="009555D2" w:rsidRDefault="000A5BEF"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c>
          <w:tcPr>
            <w:tcW w:w="900" w:type="dxa"/>
          </w:tcPr>
          <w:p w14:paraId="480F87CC"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c>
          <w:tcPr>
            <w:tcW w:w="630" w:type="dxa"/>
            <w:shd w:val="clear" w:color="auto" w:fill="00B0F0"/>
          </w:tcPr>
          <w:p w14:paraId="16D97740"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c>
          <w:tcPr>
            <w:tcW w:w="630" w:type="dxa"/>
          </w:tcPr>
          <w:p w14:paraId="2FC0996F"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c>
          <w:tcPr>
            <w:tcW w:w="630" w:type="dxa"/>
          </w:tcPr>
          <w:p w14:paraId="0ACB003C"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c>
          <w:tcPr>
            <w:tcW w:w="630" w:type="dxa"/>
          </w:tcPr>
          <w:p w14:paraId="28D4A729"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c>
          <w:tcPr>
            <w:tcW w:w="810" w:type="dxa"/>
          </w:tcPr>
          <w:p w14:paraId="011D8D91"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c>
          <w:tcPr>
            <w:tcW w:w="720" w:type="dxa"/>
          </w:tcPr>
          <w:p w14:paraId="65CC9398"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c>
          <w:tcPr>
            <w:tcW w:w="810" w:type="dxa"/>
          </w:tcPr>
          <w:p w14:paraId="74471698"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c>
          <w:tcPr>
            <w:tcW w:w="900" w:type="dxa"/>
          </w:tcPr>
          <w:p w14:paraId="663AAB7E"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p>
        </w:tc>
      </w:tr>
      <w:tr w:rsidR="000A5BEF" w:rsidRPr="009555D2" w14:paraId="7C6F2012"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2515" w:type="dxa"/>
            <w:gridSpan w:val="2"/>
          </w:tcPr>
          <w:p w14:paraId="5A260C5F" w14:textId="77777777" w:rsidR="000A5BEF" w:rsidRPr="000A5BEF" w:rsidRDefault="000A5BEF" w:rsidP="00154FCA">
            <w:pPr>
              <w:autoSpaceDE w:val="0"/>
              <w:autoSpaceDN w:val="0"/>
              <w:adjustRightInd w:val="0"/>
              <w:jc w:val="both"/>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iCs/>
                <w:sz w:val="18"/>
                <w:szCs w:val="18"/>
                <w:lang w:val="en-GB"/>
              </w:rPr>
              <w:t xml:space="preserve">NDVI </w:t>
            </w:r>
          </w:p>
        </w:tc>
        <w:tc>
          <w:tcPr>
            <w:tcW w:w="900" w:type="dxa"/>
          </w:tcPr>
          <w:p w14:paraId="00B57A72"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0.067</w:t>
            </w:r>
          </w:p>
        </w:tc>
        <w:tc>
          <w:tcPr>
            <w:tcW w:w="630" w:type="dxa"/>
            <w:shd w:val="clear" w:color="auto" w:fill="00B0F0"/>
          </w:tcPr>
          <w:p w14:paraId="4D272A66"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0.111</w:t>
            </w:r>
          </w:p>
        </w:tc>
        <w:tc>
          <w:tcPr>
            <w:tcW w:w="630" w:type="dxa"/>
          </w:tcPr>
          <w:p w14:paraId="729273BA"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0.146</w:t>
            </w:r>
          </w:p>
        </w:tc>
        <w:tc>
          <w:tcPr>
            <w:tcW w:w="630" w:type="dxa"/>
          </w:tcPr>
          <w:p w14:paraId="776EA8B8"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0.086</w:t>
            </w:r>
          </w:p>
        </w:tc>
        <w:tc>
          <w:tcPr>
            <w:tcW w:w="630" w:type="dxa"/>
          </w:tcPr>
          <w:p w14:paraId="6B4B8850"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0.144</w:t>
            </w:r>
          </w:p>
        </w:tc>
        <w:tc>
          <w:tcPr>
            <w:tcW w:w="810" w:type="dxa"/>
          </w:tcPr>
          <w:p w14:paraId="4BB94D70"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0.161</w:t>
            </w:r>
          </w:p>
        </w:tc>
        <w:tc>
          <w:tcPr>
            <w:tcW w:w="720" w:type="dxa"/>
          </w:tcPr>
          <w:p w14:paraId="1EDC9C94"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0.150</w:t>
            </w:r>
          </w:p>
        </w:tc>
        <w:tc>
          <w:tcPr>
            <w:tcW w:w="810" w:type="dxa"/>
          </w:tcPr>
          <w:p w14:paraId="106F99E8"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0.132</w:t>
            </w:r>
          </w:p>
        </w:tc>
        <w:tc>
          <w:tcPr>
            <w:tcW w:w="900" w:type="dxa"/>
          </w:tcPr>
          <w:p w14:paraId="24701F57" w14:textId="77777777" w:rsidR="000A5BEF" w:rsidRPr="000A5BEF"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0A5BEF">
              <w:rPr>
                <w:rFonts w:asciiTheme="minorHAnsi" w:eastAsia="Yu Mincho" w:hAnsiTheme="minorHAnsi" w:cstheme="minorHAnsi"/>
                <w:sz w:val="18"/>
                <w:szCs w:val="18"/>
                <w:lang w:val="en-GB"/>
              </w:rPr>
              <w:t>0.125</w:t>
            </w:r>
          </w:p>
        </w:tc>
      </w:tr>
      <w:tr w:rsidR="000A5BEF" w:rsidRPr="009555D2" w14:paraId="3E8D4456"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2515" w:type="dxa"/>
            <w:gridSpan w:val="2"/>
          </w:tcPr>
          <w:p w14:paraId="4E2E6014" w14:textId="77777777" w:rsidR="000A5BEF" w:rsidRPr="000A5BEF" w:rsidRDefault="000A5BEF" w:rsidP="00154FCA">
            <w:pPr>
              <w:autoSpaceDE w:val="0"/>
              <w:autoSpaceDN w:val="0"/>
              <w:adjustRightInd w:val="0"/>
              <w:jc w:val="both"/>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iCs/>
                <w:sz w:val="18"/>
                <w:szCs w:val="18"/>
                <w:lang w:val="en-GB"/>
              </w:rPr>
              <w:t xml:space="preserve">GNDVI </w:t>
            </w:r>
          </w:p>
        </w:tc>
        <w:tc>
          <w:tcPr>
            <w:tcW w:w="900" w:type="dxa"/>
          </w:tcPr>
          <w:p w14:paraId="6428BDC0"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0.19</w:t>
            </w:r>
          </w:p>
        </w:tc>
        <w:tc>
          <w:tcPr>
            <w:tcW w:w="630" w:type="dxa"/>
            <w:shd w:val="clear" w:color="auto" w:fill="00B0F0"/>
          </w:tcPr>
          <w:p w14:paraId="0A044A77"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w:t>
            </w:r>
          </w:p>
        </w:tc>
        <w:tc>
          <w:tcPr>
            <w:tcW w:w="630" w:type="dxa"/>
          </w:tcPr>
          <w:p w14:paraId="61A9774B"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0.241</w:t>
            </w:r>
          </w:p>
        </w:tc>
        <w:tc>
          <w:tcPr>
            <w:tcW w:w="630" w:type="dxa"/>
          </w:tcPr>
          <w:p w14:paraId="3D525DB3"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0.16</w:t>
            </w:r>
          </w:p>
        </w:tc>
        <w:tc>
          <w:tcPr>
            <w:tcW w:w="630" w:type="dxa"/>
          </w:tcPr>
          <w:p w14:paraId="1BE1739F"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0.26</w:t>
            </w:r>
          </w:p>
        </w:tc>
        <w:tc>
          <w:tcPr>
            <w:tcW w:w="810" w:type="dxa"/>
          </w:tcPr>
          <w:p w14:paraId="331D5B33"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0.275</w:t>
            </w:r>
          </w:p>
        </w:tc>
        <w:tc>
          <w:tcPr>
            <w:tcW w:w="720" w:type="dxa"/>
          </w:tcPr>
          <w:p w14:paraId="08409576"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0.265</w:t>
            </w:r>
          </w:p>
        </w:tc>
        <w:tc>
          <w:tcPr>
            <w:tcW w:w="810" w:type="dxa"/>
          </w:tcPr>
          <w:p w14:paraId="30B292DB"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0.24</w:t>
            </w:r>
          </w:p>
        </w:tc>
        <w:tc>
          <w:tcPr>
            <w:tcW w:w="900" w:type="dxa"/>
          </w:tcPr>
          <w:p w14:paraId="4DB89DDF" w14:textId="77777777" w:rsidR="000A5BEF" w:rsidRPr="000A5BEF"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0A5BEF">
              <w:rPr>
                <w:rFonts w:asciiTheme="minorHAnsi" w:eastAsia="Yu Mincho" w:hAnsiTheme="minorHAnsi" w:cstheme="minorHAnsi"/>
                <w:sz w:val="18"/>
                <w:szCs w:val="18"/>
                <w:lang w:val="en-GB"/>
              </w:rPr>
              <w:t>0.229</w:t>
            </w:r>
          </w:p>
        </w:tc>
      </w:tr>
      <w:tr w:rsidR="000A5BEF" w:rsidRPr="009555D2" w14:paraId="1D798A91"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2515" w:type="dxa"/>
            <w:gridSpan w:val="2"/>
          </w:tcPr>
          <w:p w14:paraId="4C83664B" w14:textId="77777777" w:rsidR="000A5BEF" w:rsidRPr="000A5BEF" w:rsidRDefault="000A5BEF" w:rsidP="00154FCA">
            <w:pPr>
              <w:autoSpaceDE w:val="0"/>
              <w:autoSpaceDN w:val="0"/>
              <w:adjustRightInd w:val="0"/>
              <w:jc w:val="both"/>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iCs/>
                <w:sz w:val="18"/>
                <w:szCs w:val="18"/>
                <w:lang w:val="en-GB"/>
              </w:rPr>
              <w:t xml:space="preserve">SR </w:t>
            </w:r>
          </w:p>
        </w:tc>
        <w:tc>
          <w:tcPr>
            <w:tcW w:w="900" w:type="dxa"/>
          </w:tcPr>
          <w:p w14:paraId="67F816EC"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1.143</w:t>
            </w:r>
          </w:p>
        </w:tc>
        <w:tc>
          <w:tcPr>
            <w:tcW w:w="630" w:type="dxa"/>
            <w:shd w:val="clear" w:color="auto" w:fill="00B0F0"/>
          </w:tcPr>
          <w:p w14:paraId="3394471C"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1.25</w:t>
            </w:r>
          </w:p>
        </w:tc>
        <w:tc>
          <w:tcPr>
            <w:tcW w:w="630" w:type="dxa"/>
          </w:tcPr>
          <w:p w14:paraId="5A78BBD0"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1.343</w:t>
            </w:r>
          </w:p>
        </w:tc>
        <w:tc>
          <w:tcPr>
            <w:tcW w:w="630" w:type="dxa"/>
          </w:tcPr>
          <w:p w14:paraId="64C9EEB4"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1.188</w:t>
            </w:r>
          </w:p>
        </w:tc>
        <w:tc>
          <w:tcPr>
            <w:tcW w:w="630" w:type="dxa"/>
          </w:tcPr>
          <w:p w14:paraId="31D76EEB"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1.336</w:t>
            </w:r>
          </w:p>
        </w:tc>
        <w:tc>
          <w:tcPr>
            <w:tcW w:w="810" w:type="dxa"/>
          </w:tcPr>
          <w:p w14:paraId="30C70D0E"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1.383</w:t>
            </w:r>
          </w:p>
        </w:tc>
        <w:tc>
          <w:tcPr>
            <w:tcW w:w="720" w:type="dxa"/>
          </w:tcPr>
          <w:p w14:paraId="5F4CAA33"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1.353</w:t>
            </w:r>
          </w:p>
        </w:tc>
        <w:tc>
          <w:tcPr>
            <w:tcW w:w="810" w:type="dxa"/>
          </w:tcPr>
          <w:p w14:paraId="1B2A57BF"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1.304</w:t>
            </w:r>
          </w:p>
        </w:tc>
        <w:tc>
          <w:tcPr>
            <w:tcW w:w="900" w:type="dxa"/>
          </w:tcPr>
          <w:p w14:paraId="4274FF79" w14:textId="77777777" w:rsidR="000A5BEF" w:rsidRPr="000A5BEF"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0A5BEF">
              <w:rPr>
                <w:rFonts w:asciiTheme="minorHAnsi" w:eastAsia="Yu Mincho" w:hAnsiTheme="minorHAnsi" w:cstheme="minorHAnsi"/>
                <w:sz w:val="18"/>
                <w:szCs w:val="18"/>
                <w:lang w:val="en-GB"/>
              </w:rPr>
              <w:t>1.288</w:t>
            </w:r>
          </w:p>
        </w:tc>
      </w:tr>
      <w:tr w:rsidR="000A5BEF" w:rsidRPr="009555D2" w14:paraId="7EA048AD"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2515" w:type="dxa"/>
            <w:gridSpan w:val="2"/>
          </w:tcPr>
          <w:p w14:paraId="5AC5ACB3" w14:textId="77777777" w:rsidR="000A5BEF" w:rsidRPr="000A5BEF" w:rsidRDefault="000A5BEF" w:rsidP="00154FCA">
            <w:pPr>
              <w:autoSpaceDE w:val="0"/>
              <w:autoSpaceDN w:val="0"/>
              <w:adjustRightInd w:val="0"/>
              <w:jc w:val="both"/>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iCs/>
                <w:sz w:val="18"/>
                <w:szCs w:val="18"/>
                <w:lang w:val="en-GB"/>
              </w:rPr>
              <w:t xml:space="preserve">MSR </w:t>
            </w:r>
          </w:p>
        </w:tc>
        <w:tc>
          <w:tcPr>
            <w:tcW w:w="900" w:type="dxa"/>
          </w:tcPr>
          <w:p w14:paraId="6C7F2890"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0.478</w:t>
            </w:r>
          </w:p>
        </w:tc>
        <w:tc>
          <w:tcPr>
            <w:tcW w:w="630" w:type="dxa"/>
            <w:shd w:val="clear" w:color="auto" w:fill="00B0F0"/>
          </w:tcPr>
          <w:p w14:paraId="65441ED6"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0.44</w:t>
            </w:r>
          </w:p>
        </w:tc>
        <w:tc>
          <w:tcPr>
            <w:tcW w:w="630" w:type="dxa"/>
          </w:tcPr>
          <w:p w14:paraId="015FE1C5"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0.438</w:t>
            </w:r>
          </w:p>
        </w:tc>
        <w:tc>
          <w:tcPr>
            <w:tcW w:w="630" w:type="dxa"/>
          </w:tcPr>
          <w:p w14:paraId="5664F6DE"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0.433</w:t>
            </w:r>
          </w:p>
        </w:tc>
        <w:tc>
          <w:tcPr>
            <w:tcW w:w="630" w:type="dxa"/>
          </w:tcPr>
          <w:p w14:paraId="7A5F743E"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0.458</w:t>
            </w:r>
          </w:p>
        </w:tc>
        <w:tc>
          <w:tcPr>
            <w:tcW w:w="810" w:type="dxa"/>
          </w:tcPr>
          <w:p w14:paraId="3AFB72C6"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0.453</w:t>
            </w:r>
          </w:p>
        </w:tc>
        <w:tc>
          <w:tcPr>
            <w:tcW w:w="720" w:type="dxa"/>
          </w:tcPr>
          <w:p w14:paraId="5B6EE055"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0.456</w:t>
            </w:r>
          </w:p>
        </w:tc>
        <w:tc>
          <w:tcPr>
            <w:tcW w:w="810" w:type="dxa"/>
          </w:tcPr>
          <w:p w14:paraId="47A104E1"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0.455</w:t>
            </w:r>
          </w:p>
        </w:tc>
        <w:tc>
          <w:tcPr>
            <w:tcW w:w="900" w:type="dxa"/>
          </w:tcPr>
          <w:p w14:paraId="07450A14" w14:textId="77777777" w:rsidR="000A5BEF" w:rsidRPr="000A5BEF"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0A5BEF">
              <w:rPr>
                <w:rFonts w:asciiTheme="minorHAnsi" w:eastAsia="Yu Mincho" w:hAnsiTheme="minorHAnsi" w:cstheme="minorHAnsi"/>
                <w:sz w:val="18"/>
                <w:szCs w:val="18"/>
                <w:lang w:val="en-GB"/>
              </w:rPr>
              <w:t>0.457</w:t>
            </w:r>
          </w:p>
        </w:tc>
      </w:tr>
      <w:tr w:rsidR="000A5BEF" w:rsidRPr="009555D2" w14:paraId="0A4A7507"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2515" w:type="dxa"/>
            <w:gridSpan w:val="2"/>
          </w:tcPr>
          <w:p w14:paraId="66110384" w14:textId="77777777" w:rsidR="000A5BEF" w:rsidRPr="000A5BEF" w:rsidRDefault="000A5BEF" w:rsidP="00154FCA">
            <w:pPr>
              <w:autoSpaceDE w:val="0"/>
              <w:autoSpaceDN w:val="0"/>
              <w:adjustRightInd w:val="0"/>
              <w:jc w:val="both"/>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iCs/>
                <w:sz w:val="18"/>
                <w:szCs w:val="18"/>
                <w:lang w:val="en-GB"/>
              </w:rPr>
              <w:t xml:space="preserve">DVI </w:t>
            </w:r>
          </w:p>
        </w:tc>
        <w:tc>
          <w:tcPr>
            <w:tcW w:w="900" w:type="dxa"/>
          </w:tcPr>
          <w:p w14:paraId="35C0C3BC"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w:t>
            </w:r>
          </w:p>
        </w:tc>
        <w:tc>
          <w:tcPr>
            <w:tcW w:w="630" w:type="dxa"/>
            <w:shd w:val="clear" w:color="auto" w:fill="00B0F0"/>
          </w:tcPr>
          <w:p w14:paraId="3F21C289"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0.165</w:t>
            </w:r>
          </w:p>
        </w:tc>
        <w:tc>
          <w:tcPr>
            <w:tcW w:w="630" w:type="dxa"/>
          </w:tcPr>
          <w:p w14:paraId="0D30E74D"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0.23</w:t>
            </w:r>
          </w:p>
        </w:tc>
        <w:tc>
          <w:tcPr>
            <w:tcW w:w="630" w:type="dxa"/>
          </w:tcPr>
          <w:p w14:paraId="28262D2C"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0.12</w:t>
            </w:r>
          </w:p>
        </w:tc>
        <w:tc>
          <w:tcPr>
            <w:tcW w:w="630" w:type="dxa"/>
          </w:tcPr>
          <w:p w14:paraId="5B9FAD4D"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0.235</w:t>
            </w:r>
          </w:p>
        </w:tc>
        <w:tc>
          <w:tcPr>
            <w:tcW w:w="810" w:type="dxa"/>
          </w:tcPr>
          <w:p w14:paraId="17C84548"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0.268</w:t>
            </w:r>
          </w:p>
        </w:tc>
        <w:tc>
          <w:tcPr>
            <w:tcW w:w="720" w:type="dxa"/>
          </w:tcPr>
          <w:p w14:paraId="79169A9E"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0.247</w:t>
            </w:r>
          </w:p>
        </w:tc>
        <w:tc>
          <w:tcPr>
            <w:tcW w:w="810" w:type="dxa"/>
          </w:tcPr>
          <w:p w14:paraId="733699D4"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0.21</w:t>
            </w:r>
          </w:p>
        </w:tc>
        <w:tc>
          <w:tcPr>
            <w:tcW w:w="900" w:type="dxa"/>
          </w:tcPr>
          <w:p w14:paraId="10B852BA" w14:textId="77777777" w:rsidR="000A5BEF" w:rsidRPr="000A5BEF"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0A5BEF">
              <w:rPr>
                <w:rFonts w:asciiTheme="minorHAnsi" w:eastAsia="Yu Mincho" w:hAnsiTheme="minorHAnsi" w:cstheme="minorHAnsi"/>
                <w:sz w:val="18"/>
                <w:szCs w:val="18"/>
                <w:lang w:val="en-GB"/>
              </w:rPr>
              <w:t>0.197</w:t>
            </w:r>
          </w:p>
        </w:tc>
      </w:tr>
      <w:tr w:rsidR="000A5BEF" w:rsidRPr="009555D2" w14:paraId="577CBF53"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2515" w:type="dxa"/>
            <w:gridSpan w:val="2"/>
          </w:tcPr>
          <w:p w14:paraId="65783DA5" w14:textId="77777777" w:rsidR="000A5BEF" w:rsidRPr="000A5BEF" w:rsidRDefault="000A5BEF" w:rsidP="00154FCA">
            <w:pPr>
              <w:autoSpaceDE w:val="0"/>
              <w:autoSpaceDN w:val="0"/>
              <w:adjustRightInd w:val="0"/>
              <w:jc w:val="both"/>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iCs/>
                <w:sz w:val="18"/>
                <w:szCs w:val="18"/>
                <w:lang w:val="en-GB"/>
              </w:rPr>
              <w:t xml:space="preserve">RDVI </w:t>
            </w:r>
          </w:p>
        </w:tc>
        <w:tc>
          <w:tcPr>
            <w:tcW w:w="900" w:type="dxa"/>
          </w:tcPr>
          <w:p w14:paraId="50E1D44F"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0.082</w:t>
            </w:r>
          </w:p>
        </w:tc>
        <w:tc>
          <w:tcPr>
            <w:tcW w:w="630" w:type="dxa"/>
            <w:shd w:val="clear" w:color="auto" w:fill="00B0F0"/>
          </w:tcPr>
          <w:p w14:paraId="029AADB9"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0.135</w:t>
            </w:r>
          </w:p>
        </w:tc>
        <w:tc>
          <w:tcPr>
            <w:tcW w:w="630" w:type="dxa"/>
          </w:tcPr>
          <w:p w14:paraId="03074F94"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0.184</w:t>
            </w:r>
          </w:p>
        </w:tc>
        <w:tc>
          <w:tcPr>
            <w:tcW w:w="630" w:type="dxa"/>
          </w:tcPr>
          <w:p w14:paraId="4A848B2D"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0.10</w:t>
            </w:r>
          </w:p>
        </w:tc>
        <w:tc>
          <w:tcPr>
            <w:tcW w:w="630" w:type="dxa"/>
          </w:tcPr>
          <w:p w14:paraId="59DC26D7"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0.184</w:t>
            </w:r>
          </w:p>
        </w:tc>
        <w:tc>
          <w:tcPr>
            <w:tcW w:w="810" w:type="dxa"/>
          </w:tcPr>
          <w:p w14:paraId="6DCAF512"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0.208</w:t>
            </w:r>
          </w:p>
        </w:tc>
        <w:tc>
          <w:tcPr>
            <w:tcW w:w="720" w:type="dxa"/>
          </w:tcPr>
          <w:p w14:paraId="1E28B41E"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0.193</w:t>
            </w:r>
          </w:p>
        </w:tc>
        <w:tc>
          <w:tcPr>
            <w:tcW w:w="810" w:type="dxa"/>
          </w:tcPr>
          <w:p w14:paraId="1A92B10D"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0.167</w:t>
            </w:r>
          </w:p>
        </w:tc>
        <w:tc>
          <w:tcPr>
            <w:tcW w:w="900" w:type="dxa"/>
          </w:tcPr>
          <w:p w14:paraId="089F0483" w14:textId="77777777" w:rsidR="000A5BEF" w:rsidRPr="000A5BEF"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0A5BEF">
              <w:rPr>
                <w:rFonts w:asciiTheme="minorHAnsi" w:eastAsia="Yu Mincho" w:hAnsiTheme="minorHAnsi" w:cstheme="minorHAnsi"/>
                <w:sz w:val="18"/>
                <w:szCs w:val="18"/>
                <w:lang w:val="en-GB"/>
              </w:rPr>
              <w:t>0.156</w:t>
            </w:r>
          </w:p>
        </w:tc>
      </w:tr>
      <w:tr w:rsidR="000A5BEF" w:rsidRPr="009555D2" w14:paraId="55BD684B"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2515" w:type="dxa"/>
            <w:gridSpan w:val="2"/>
          </w:tcPr>
          <w:p w14:paraId="67C4B3A8" w14:textId="77777777" w:rsidR="000A5BEF" w:rsidRPr="000A5BEF" w:rsidRDefault="000A5BEF" w:rsidP="00154FCA">
            <w:pPr>
              <w:autoSpaceDE w:val="0"/>
              <w:autoSpaceDN w:val="0"/>
              <w:adjustRightInd w:val="0"/>
              <w:jc w:val="both"/>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iCs/>
                <w:sz w:val="18"/>
                <w:szCs w:val="18"/>
                <w:lang w:val="en-GB"/>
              </w:rPr>
              <w:t>EVI</w:t>
            </w:r>
          </w:p>
        </w:tc>
        <w:tc>
          <w:tcPr>
            <w:tcW w:w="900" w:type="dxa"/>
          </w:tcPr>
          <w:p w14:paraId="002D3271"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0.448</w:t>
            </w:r>
          </w:p>
        </w:tc>
        <w:tc>
          <w:tcPr>
            <w:tcW w:w="630" w:type="dxa"/>
            <w:shd w:val="clear" w:color="auto" w:fill="00B0F0"/>
          </w:tcPr>
          <w:p w14:paraId="60F4B692"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1.01</w:t>
            </w:r>
          </w:p>
        </w:tc>
        <w:tc>
          <w:tcPr>
            <w:tcW w:w="630" w:type="dxa"/>
          </w:tcPr>
          <w:p w14:paraId="270CEE9C"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1.06</w:t>
            </w:r>
          </w:p>
        </w:tc>
        <w:tc>
          <w:tcPr>
            <w:tcW w:w="630" w:type="dxa"/>
          </w:tcPr>
          <w:p w14:paraId="362AAA4B"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1.33</w:t>
            </w:r>
          </w:p>
        </w:tc>
        <w:tc>
          <w:tcPr>
            <w:tcW w:w="630" w:type="dxa"/>
          </w:tcPr>
          <w:p w14:paraId="1DD3CE00"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0.77</w:t>
            </w:r>
          </w:p>
        </w:tc>
        <w:tc>
          <w:tcPr>
            <w:tcW w:w="810" w:type="dxa"/>
          </w:tcPr>
          <w:p w14:paraId="619285CD"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0.84</w:t>
            </w:r>
          </w:p>
        </w:tc>
        <w:tc>
          <w:tcPr>
            <w:tcW w:w="720" w:type="dxa"/>
          </w:tcPr>
          <w:p w14:paraId="4D240554"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0.8</w:t>
            </w:r>
          </w:p>
        </w:tc>
        <w:tc>
          <w:tcPr>
            <w:tcW w:w="810" w:type="dxa"/>
          </w:tcPr>
          <w:p w14:paraId="79ED4B04"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0.789</w:t>
            </w:r>
          </w:p>
        </w:tc>
        <w:tc>
          <w:tcPr>
            <w:tcW w:w="900" w:type="dxa"/>
          </w:tcPr>
          <w:p w14:paraId="1F63E10D" w14:textId="77777777" w:rsidR="000A5BEF" w:rsidRPr="000A5BEF"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0A5BEF">
              <w:rPr>
                <w:rFonts w:asciiTheme="minorHAnsi" w:eastAsia="Yu Mincho" w:hAnsiTheme="minorHAnsi" w:cstheme="minorHAnsi"/>
                <w:sz w:val="18"/>
                <w:szCs w:val="18"/>
                <w:lang w:val="en-GB"/>
              </w:rPr>
              <w:t>0.881</w:t>
            </w:r>
          </w:p>
        </w:tc>
      </w:tr>
      <w:tr w:rsidR="000A5BEF" w:rsidRPr="009555D2" w14:paraId="77379F1E"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2515" w:type="dxa"/>
            <w:gridSpan w:val="2"/>
          </w:tcPr>
          <w:p w14:paraId="5E56E467" w14:textId="77777777" w:rsidR="000A5BEF" w:rsidRPr="000A5BEF" w:rsidRDefault="000A5BEF" w:rsidP="00154FCA">
            <w:pPr>
              <w:autoSpaceDE w:val="0"/>
              <w:autoSpaceDN w:val="0"/>
              <w:adjustRightInd w:val="0"/>
              <w:jc w:val="both"/>
              <w:rPr>
                <w:rFonts w:asciiTheme="minorHAnsi" w:eastAsia="Yu Mincho" w:hAnsiTheme="minorHAnsi" w:cstheme="minorHAnsi"/>
                <w:b w:val="0"/>
                <w:bCs w:val="0"/>
                <w:sz w:val="18"/>
                <w:szCs w:val="18"/>
                <w:lang w:val="en-GB"/>
              </w:rPr>
            </w:pPr>
            <w:r w:rsidRPr="000A5BEF">
              <w:rPr>
                <w:rFonts w:asciiTheme="minorHAnsi" w:eastAsia="Yu Mincho" w:hAnsiTheme="minorHAnsi" w:cstheme="minorHAnsi"/>
                <w:b w:val="0"/>
                <w:bCs w:val="0"/>
                <w:iCs/>
                <w:sz w:val="18"/>
                <w:szCs w:val="18"/>
                <w:lang w:val="en-GB"/>
              </w:rPr>
              <w:t xml:space="preserve">MSAVI </w:t>
            </w:r>
          </w:p>
        </w:tc>
        <w:tc>
          <w:tcPr>
            <w:tcW w:w="900" w:type="dxa"/>
          </w:tcPr>
          <w:p w14:paraId="4685377B"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3.35</w:t>
            </w:r>
          </w:p>
        </w:tc>
        <w:tc>
          <w:tcPr>
            <w:tcW w:w="630" w:type="dxa"/>
            <w:shd w:val="clear" w:color="auto" w:fill="00B0F0"/>
          </w:tcPr>
          <w:p w14:paraId="7FAE5161"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-3.81</w:t>
            </w:r>
          </w:p>
        </w:tc>
        <w:tc>
          <w:tcPr>
            <w:tcW w:w="630" w:type="dxa"/>
          </w:tcPr>
          <w:p w14:paraId="5D75056D"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-4.44</w:t>
            </w:r>
          </w:p>
        </w:tc>
        <w:tc>
          <w:tcPr>
            <w:tcW w:w="630" w:type="dxa"/>
          </w:tcPr>
          <w:p w14:paraId="6D5E04EE"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-3.3</w:t>
            </w:r>
          </w:p>
        </w:tc>
        <w:tc>
          <w:tcPr>
            <w:tcW w:w="630" w:type="dxa"/>
          </w:tcPr>
          <w:p w14:paraId="4AF01299"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-4.64</w:t>
            </w:r>
          </w:p>
        </w:tc>
        <w:tc>
          <w:tcPr>
            <w:tcW w:w="810" w:type="dxa"/>
          </w:tcPr>
          <w:p w14:paraId="77066666"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-4.91</w:t>
            </w:r>
          </w:p>
        </w:tc>
        <w:tc>
          <w:tcPr>
            <w:tcW w:w="720" w:type="dxa"/>
          </w:tcPr>
          <w:p w14:paraId="4B9349B2"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-4.73</w:t>
            </w:r>
          </w:p>
        </w:tc>
        <w:tc>
          <w:tcPr>
            <w:tcW w:w="810" w:type="dxa"/>
          </w:tcPr>
          <w:p w14:paraId="6C7F0834" w14:textId="77777777" w:rsidR="000A5BEF" w:rsidRPr="009555D2"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-4.36</w:t>
            </w:r>
          </w:p>
        </w:tc>
        <w:tc>
          <w:tcPr>
            <w:tcW w:w="900" w:type="dxa"/>
          </w:tcPr>
          <w:p w14:paraId="606AAB39" w14:textId="77777777" w:rsidR="000A5BEF" w:rsidRPr="000A5BEF" w:rsidRDefault="000A5BEF" w:rsidP="00154F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0A5BEF">
              <w:rPr>
                <w:rFonts w:asciiTheme="minorHAnsi" w:eastAsia="Yu Mincho" w:hAnsiTheme="minorHAnsi" w:cstheme="minorHAnsi"/>
                <w:sz w:val="18"/>
                <w:szCs w:val="18"/>
                <w:lang w:val="en-GB"/>
              </w:rPr>
              <w:t>-4.193</w:t>
            </w:r>
          </w:p>
        </w:tc>
      </w:tr>
    </w:tbl>
    <w:bookmarkEnd w:id="5"/>
    <w:p w14:paraId="63C7FCB0" w14:textId="77777777" w:rsidR="0024372F" w:rsidRPr="000A5BEF" w:rsidRDefault="0024372F" w:rsidP="0024372F">
      <w:pPr>
        <w:spacing w:after="0" w:line="240" w:lineRule="auto"/>
        <w:jc w:val="both"/>
        <w:rPr>
          <w:rFonts w:cs="Times New Roman"/>
          <w:iCs/>
          <w:lang w:val="en-GB"/>
        </w:rPr>
      </w:pPr>
      <w:r w:rsidRPr="000A5BEF">
        <w:rPr>
          <w:rFonts w:cs="Times New Roman"/>
          <w:b/>
          <w:lang w:val="en-GB"/>
        </w:rPr>
        <w:t>Abbreviations:</w:t>
      </w:r>
      <w:r w:rsidRPr="000A5BEF">
        <w:rPr>
          <w:rFonts w:cs="Times New Roman"/>
          <w:lang w:val="en-GB"/>
        </w:rPr>
        <w:t xml:space="preserve"> NDVI = Normalised Difference Vegetation Indices, </w:t>
      </w:r>
      <w:r w:rsidRPr="000A5BEF">
        <w:rPr>
          <w:rFonts w:cs="Times New Roman"/>
          <w:iCs/>
          <w:lang w:val="en-GB"/>
        </w:rPr>
        <w:t xml:space="preserve">GNDVI </w:t>
      </w:r>
      <w:r w:rsidRPr="000A5BEF">
        <w:rPr>
          <w:rFonts w:cs="Times New Roman"/>
          <w:lang w:val="en-GB"/>
        </w:rPr>
        <w:t>= Green Normalised Difference Vegetation Indices, SR = Simple Ratio, MSR = Modified Simple Ratio, DVI = Difference Vegetation Index, RDVI =</w:t>
      </w:r>
      <w:r w:rsidRPr="000A5BEF">
        <w:rPr>
          <w:rFonts w:cs="Times New Roman"/>
          <w:iCs/>
          <w:lang w:val="en-GB"/>
        </w:rPr>
        <w:t xml:space="preserve"> Renormalized Difference Vegetation Index</w:t>
      </w:r>
      <w:r w:rsidRPr="000A5BEF">
        <w:rPr>
          <w:rFonts w:cs="Times New Roman"/>
          <w:lang w:val="en-GB"/>
        </w:rPr>
        <w:t xml:space="preserve">, </w:t>
      </w:r>
      <w:r w:rsidRPr="000A5BEF">
        <w:rPr>
          <w:rFonts w:cs="Times New Roman"/>
          <w:iCs/>
          <w:lang w:val="en-GB"/>
        </w:rPr>
        <w:t>EVI = Enhanced Vegetation Index, MSAVI = Modified Soil Adjusted Vegetation Index.</w:t>
      </w:r>
    </w:p>
    <w:p w14:paraId="0A35CFD2" w14:textId="77777777" w:rsidR="0024372F" w:rsidRPr="0024372F" w:rsidRDefault="0024372F" w:rsidP="0024372F">
      <w:pPr>
        <w:spacing w:after="0" w:line="240" w:lineRule="auto"/>
        <w:jc w:val="both"/>
        <w:rPr>
          <w:rFonts w:cs="Times New Roman"/>
          <w:sz w:val="24"/>
          <w:szCs w:val="24"/>
          <w:lang w:val="en-GB"/>
        </w:rPr>
      </w:pPr>
    </w:p>
    <w:p w14:paraId="38652E78" w14:textId="5E41C5EF" w:rsidR="0024372F" w:rsidRPr="0024372F" w:rsidRDefault="0024372F" w:rsidP="002027A9">
      <w:pPr>
        <w:pStyle w:val="A"/>
        <w:rPr>
          <w:i/>
          <w:iCs/>
          <w:lang w:val="en-US"/>
        </w:rPr>
      </w:pPr>
      <w:r w:rsidRPr="0024372F">
        <w:rPr>
          <w:rStyle w:val="AChar"/>
          <w:lang w:val="en-GB"/>
        </w:rPr>
        <w:t>Subsequently</w:t>
      </w:r>
      <w:r w:rsidRPr="0024372F">
        <w:rPr>
          <w:rStyle w:val="AChar"/>
          <w:lang w:val="en-US"/>
        </w:rPr>
        <w:t>, eight VIs algorithms were evaluated against two resistivity value ranges (RAR and BRP) to find out which Vegetation Indexes are associated (interrelated) with the ERTs data. The respective values of higher correlations were colored indicated as in a) green: relatively strong positive correlation, b) blue: relatively strong negative correlation, and c) grey: relatively weak correlation</w:t>
      </w:r>
      <w:r w:rsidRPr="0024372F">
        <w:rPr>
          <w:i/>
          <w:iCs/>
          <w:lang w:val="en-US"/>
        </w:rPr>
        <w:t>.</w:t>
      </w:r>
    </w:p>
    <w:p w14:paraId="2F957129" w14:textId="59310699" w:rsidR="0024372F" w:rsidRDefault="0024372F" w:rsidP="002027A9">
      <w:pPr>
        <w:pStyle w:val="A"/>
        <w:rPr>
          <w:lang w:val="en-US"/>
        </w:rPr>
      </w:pPr>
      <w:r w:rsidRPr="0024372F">
        <w:rPr>
          <w:lang w:val="en-US"/>
        </w:rPr>
        <w:t>Table 5 shows that the results show that almost all of the indices have a high correlation between VI algorithms and resistivity for RAR. The DVI and RDVI show a high positive correlation with RAR (</w:t>
      </w:r>
      <w:r w:rsidRPr="0024372F">
        <w:rPr>
          <w:i/>
          <w:iCs/>
          <w:lang w:val="en-US"/>
        </w:rPr>
        <w:t>r = 0.94</w:t>
      </w:r>
      <w:r w:rsidRPr="0024372F">
        <w:rPr>
          <w:lang w:val="en-US"/>
        </w:rPr>
        <w:t>) and RBP (</w:t>
      </w:r>
      <w:r w:rsidRPr="0024372F">
        <w:rPr>
          <w:i/>
          <w:iCs/>
          <w:lang w:val="en-US"/>
        </w:rPr>
        <w:t>r = 0.95</w:t>
      </w:r>
      <w:r w:rsidRPr="0024372F">
        <w:rPr>
          <w:lang w:val="en-US"/>
        </w:rPr>
        <w:t>). In identifying buried archaeological properties, MSAVI has a strong negative connection with RAR (</w:t>
      </w:r>
      <w:r w:rsidRPr="0024372F">
        <w:rPr>
          <w:i/>
          <w:iCs/>
          <w:lang w:val="en-US"/>
        </w:rPr>
        <w:t xml:space="preserve">r </w:t>
      </w:r>
      <w:r w:rsidRPr="0024372F">
        <w:rPr>
          <w:lang w:val="en-US"/>
        </w:rPr>
        <w:t>= -0.93) and RBP (</w:t>
      </w:r>
      <w:r w:rsidRPr="0024372F">
        <w:rPr>
          <w:i/>
          <w:iCs/>
          <w:lang w:val="en-US"/>
        </w:rPr>
        <w:t>r</w:t>
      </w:r>
      <w:r w:rsidRPr="0024372F">
        <w:rPr>
          <w:lang w:val="en-US"/>
        </w:rPr>
        <w:t xml:space="preserve"> = -0.95). In contrast, NDVI for resistivity data over the (RAR) test had the lowest correlation w</w:t>
      </w:r>
      <w:r>
        <w:rPr>
          <w:lang w:val="en-US"/>
        </w:rPr>
        <w:t xml:space="preserve">ith </w:t>
      </w:r>
      <w:r w:rsidRPr="0024372F">
        <w:rPr>
          <w:lang w:val="en-US"/>
        </w:rPr>
        <w:t>RAR (</w:t>
      </w:r>
      <w:r w:rsidRPr="0024372F">
        <w:rPr>
          <w:i/>
          <w:iCs/>
          <w:lang w:val="en-US"/>
        </w:rPr>
        <w:t>r</w:t>
      </w:r>
      <w:r w:rsidRPr="0024372F">
        <w:rPr>
          <w:lang w:val="en-US"/>
        </w:rPr>
        <w:t xml:space="preserve"> = 0.66), indicating that the NDVI algorithm is less suited for detecting underground water than archaeologically buried structures or materials. Additional research </w:t>
      </w:r>
      <w:r w:rsidRPr="0024372F">
        <w:rPr>
          <w:lang w:val="en-US"/>
        </w:rPr>
        <w:fldChar w:fldCharType="begin" w:fldLock="1"/>
      </w:r>
      <w:r w:rsidRPr="0024372F">
        <w:rPr>
          <w:lang w:val="en-US"/>
        </w:rPr>
        <w:instrText>ADDIN CSL_CITATION {"citationItems":[{"id":"ITEM-1","itemData":{"DOI":"10.1016/j.jasrep.2020.102553","ISSN":"2352409X","abstract":"This paper introduces a statistical method to identify spectral signatures of buried archaeological remains and distinguish them from spectra of the background soil in the visible to near infrared region. The proposed method is based on the Principal Component Analysis (PCA). The difference between an archaeological spectrum and non-archaeological soil spectra is quantified by a so-called R value. R values larger than 1 indicate that the spectrum represents an archaeological material. The method is successfully applied to samples from five study sites in Italy and Hungary with special conditions. The reflection spectra are taken in a time-efficient way with a field spectrometer. The method works best if background non-archaeological soil spectra are gathered from the same area, around the targeted archaeological site. Also, it can work without such local background spectra (but with lower accuracy) using background spectra from existing spectral libraries. This indicates that the method can, in principle, be applied to any archaeological site which is spectrally distinct from its surroundings. The paper highlights that this method does not require high spectral resolution and thus has the advantage of using low spectral resolution spectrometers which can eventually be applied for continuous 2D imaging applications with high temporal resolution. Additional studies are needed to further improve the method and to investigate under which conditions it works well or only with limited accuracy.","author":[{"dropping-particle":"","family":"Choi","given":"Y. J.","non-dropping-particle":"","parse-names":false,"suffix":""},{"dropping-particle":"","family":"Lampel","given":"J.","non-dropping-particle":"","parse-names":false,"suffix":""},{"dropping-particle":"","family":"Fiedler","given":"S.","non-dropping-particle":"","parse-names":false,"suffix":""},{"dropping-particle":"","family":"Jordan","given":"D.","non-dropping-particle":"","parse-names":false,"suffix":""},{"dropping-particle":"","family":"Wagner","given":"T.","non-dropping-particle":"","parse-names":false,"suffix":""}],"container-title":"Journal of Archaeological Science: Reports","id":"ITEM-1","issue":"April","issued":{"date-parts":[["2020"]]},"page":"102553","publisher":"Elsevier","title":"A new method for the identification of archaeological soils by their spectral signatures in the vis-NIR region","type":"article-journal","volume":"33"},"uris":["http://www.mendeley.com/documents/?uuid=eb6ef3f0-f021-44b0-84b2-adce8a86becd"]},{"id":"ITEM-2","itemData":{"DOI":"10.3390/rs6054173","ISSN":"20724292","abstract":"Lake Urmia is the 20th largest lake and the second largest hyper saline lake (before September 2010) in the world. It is also the largest inland body of salt water in the Middle East. Nevertheless, the lake has been in a critical situation in recent years due to decreasing surface water and increasing salinity. This study modeled the spatiotemporal changes of Lake Urmia in the period 2000-2013 using the multi-temporal Landsat 5-TM, 7-ETM+ and 8-OLI images. In doing so, the applicability of different satellite-derived indexes including Normalized Difference Water Index (NDWI), Modified NDWI (MNDWI), Normalized Difference Moisture Index (NDMI), Water Ratio Index (WRI), Normalized Difference Vegetation Index (NDVI), and Automated Water Extraction Index (AWEI) were investigated for the extraction of surface water from Landsat data. Overall, the NDWI was found superior to other indexes and hence it was used to model the spatiotemporal changes of the lake. In addition, a new approach based on Principal Components of multi-temporal NDWI (NDWI-PCs) was proposed and evaluated for surface water change detection. The results indicate an intense decreasing trend in Lake Urmia surface area in the period 2000-2013, especially between 2010 and 2013 when the lake lost about one third of its surface area compared to the year 2000. The results illustrate the effectiveness of the NDWI-PCs approach for surface water change detection, especially in detecting the changes between two and three different times, simultaneously. © 2014 by the authors.","author":[{"dropping-particle":"","family":"Rokni","given":"Komeil","non-dropping-particle":"","parse-names":false,"suffix":""},{"dropping-particle":"","family":"Ahmad","given":"Anuar","non-dropping-particle":"","parse-names":false,"suffix":""},{"dropping-particle":"","family":"Selamat","given":"Ali","non-dropping-particle":"","parse-names":false,"suffix":""},{"dropping-particle":"","family":"Hazini","given":"Sharifeh","non-dropping-particle":"","parse-names":false,"suffix":""}],"container-title":"Remote Sensing","id":"ITEM-2","issue":"5","issued":{"date-parts":[["2014"]]},"page":"4173-4189","title":"Water feature extraction and change detection using multitemporal landsat imagery","type":"article-journal","volume":"6"},"uris":["http://www.mendeley.com/documents/?uuid=52cb1939-84ad-4c74-87e0-748da8fbf6f2"]},{"id":"ITEM-3","itemData":{"DOI":"10.1080/01431160600589179","ISSN":"13665901","abstract":"The normalized difference water index (NDWI) of McFeeters (1996) was modified by substitution of a middle infrared band such as Landsat TM band 5 for the near infrared band used in the NDWI. The modified NDWI (MNDWI) can enhance open water features while efficiently suppressing and even removing built-up land noise as well as vegetation and soil noise. The enhanced water information using the NDWI is often mixed with built-up land noise and the area of extracted water is thus overestimated. Accordingly, the MNDWI is more suitable for enhancing and extracting water information for a water region with a background dominated by built-up land areas because of its advantage in reducing and even removing built-up land noise over the NDWI.","author":[{"dropping-particle":"","family":"Xu","given":"Hanqiu","non-dropping-particle":"","parse-names":false,"suffix":""}],"container-title":"International Journal of Remote Sensing","id":"ITEM-3","issue":"14","issued":{"date-parts":[["2006"]]},"page":"3025-3033","title":"Modification of normalised difference water index (NDWI) to enhance open water features in remotely sensed imagery","type":"article-journal","volume":"27"},"uris":["http://www.mendeley.com/documents/?uuid=eccc3ebf-03bf-43d1-ad46-e90e2c34dea6"]},{"id":"ITEM-4","itemData":{"DOI":"10.1007/s11356-016-8167-y","ISSN":"16147499","PMID":"27966082","abstract":"Lake Burullus is the second largest natural coastal lake in Egypt. It has an economic importance for fish yield. However, several anthropogenic activities such as industrial, agriculture, and reclamation activities lead to a deterioration of its water quality and a decrease of the water body area of the lake. This study aims to detect the spatiotemporal changes of Lake Burullus in the period 1972–2015 using 12 Landsat {(1,3-MSS), (4,5-TM), and (7-ETM+)} imageries and water indices approach. To extract water feature from imageries, the Normalized Difference Water Index (NDWI) and the Water Ratio Index (WRI) were applied. The NDWI was applied to the MSS imageries. For other TM and ETM+ imageries, the WRI was applied. Obtained results show a significant decrease in the water area of the Lake Burullus, where it lost about (49%) of its surface area during the period from the year 1972 to the year 2015. A rapid decrease in the lake surface area was noticed through the period from 1972 to 1984. A prediction model was built depending on the calculated water area of the lake. Finally, the multi-temporal maps of the lake surface area are overlaid to produce a map for the changes of the lake surface area using Geographic Information System (GIS).","author":[{"dropping-particle":"","family":"Mohsen","given":"A.","non-dropping-particle":"","parse-names":false,"suffix":""},{"dropping-particle":"","family":"Elshemy","given":"M.","non-dropping-particle":"","parse-names":false,"suffix":""},{"dropping-particle":"","family":"Zeidan","given":"B. A.","non-dropping-particle":"","parse-names":false,"suffix":""}],"container-title":"Environmental Science and Pollution Research","id":"ITEM-4","issue":"31","issued":{"date-parts":[["2018"]]},"page":"30763-30771","title":"Change detection for Lake Burullus, Egypt using remote sensing and GIS approaches","type":"article-journal","volume":"25"},"uris":["http://www.mendeley.com/documents/?uuid=9db4c964-19b0-4214-9702-120d958a7e25"]}],"mendeley":{"formattedCitation":"[1, 44–46]","manualFormatting":"[1], [44]–[45]","plainTextFormattedCitation":"[1, 44–46]","previouslyFormattedCitation":"[1, 45–47]"},"properties":{"noteIndex":0},"schema":"https://github.com/citation-style-language/schema/raw/master/csl-citation.json"}</w:instrText>
      </w:r>
      <w:r w:rsidRPr="0024372F">
        <w:rPr>
          <w:lang w:val="en-US"/>
        </w:rPr>
        <w:fldChar w:fldCharType="separate"/>
      </w:r>
      <w:r w:rsidRPr="0024372F">
        <w:rPr>
          <w:lang w:val="en-US"/>
        </w:rPr>
        <w:t>[1</w:t>
      </w:r>
      <w:r w:rsidR="004251DA">
        <w:rPr>
          <w:lang w:val="en-US"/>
        </w:rPr>
        <w:t>,</w:t>
      </w:r>
      <w:r w:rsidRPr="0024372F">
        <w:rPr>
          <w:lang w:val="en-US"/>
        </w:rPr>
        <w:t>44</w:t>
      </w:r>
      <w:r w:rsidR="004251DA">
        <w:rPr>
          <w:lang w:val="en-US"/>
        </w:rPr>
        <w:t>,</w:t>
      </w:r>
      <w:r w:rsidRPr="0024372F">
        <w:rPr>
          <w:lang w:val="en-US"/>
        </w:rPr>
        <w:t>45]</w:t>
      </w:r>
      <w:r w:rsidRPr="0024372F">
        <w:rPr>
          <w:lang w:val="en-US"/>
        </w:rPr>
        <w:fldChar w:fldCharType="end"/>
      </w:r>
      <w:r w:rsidRPr="0024372F">
        <w:rPr>
          <w:lang w:val="en-US"/>
        </w:rPr>
        <w:t xml:space="preserve"> confirms that the Normalized Difference Water Index (NDWI) algorithm is more successful when applied to water from the subsurface or underground. Thus, the study demonstrated that NDVI-RBP is more highly correlated (</w:t>
      </w:r>
      <w:r w:rsidRPr="0024372F">
        <w:rPr>
          <w:i/>
          <w:iCs/>
          <w:lang w:val="en-US"/>
        </w:rPr>
        <w:t>r</w:t>
      </w:r>
      <w:r w:rsidRPr="0024372F">
        <w:rPr>
          <w:lang w:val="en-US"/>
        </w:rPr>
        <w:t xml:space="preserve"> = 0.95) than NDVI-RAR.</w:t>
      </w:r>
    </w:p>
    <w:p w14:paraId="7C04CDBD" w14:textId="1B130672" w:rsidR="002027A9" w:rsidRDefault="002027A9" w:rsidP="002027A9">
      <w:pPr>
        <w:pStyle w:val="A"/>
        <w:rPr>
          <w:lang w:val="en-US"/>
        </w:rPr>
      </w:pPr>
    </w:p>
    <w:p w14:paraId="43EB116A" w14:textId="2C07ECB8" w:rsidR="000A5BEF" w:rsidRDefault="000A5BEF" w:rsidP="002027A9">
      <w:pPr>
        <w:pStyle w:val="A"/>
        <w:rPr>
          <w:lang w:val="en-US"/>
        </w:rPr>
      </w:pPr>
    </w:p>
    <w:p w14:paraId="4711272F" w14:textId="781915D4" w:rsidR="000A5BEF" w:rsidRDefault="000A5BEF" w:rsidP="002027A9">
      <w:pPr>
        <w:pStyle w:val="A"/>
        <w:rPr>
          <w:lang w:val="en-US"/>
        </w:rPr>
      </w:pPr>
    </w:p>
    <w:p w14:paraId="75676B76" w14:textId="1B927B0A" w:rsidR="000A5BEF" w:rsidRDefault="000A5BEF" w:rsidP="002027A9">
      <w:pPr>
        <w:pStyle w:val="A"/>
        <w:rPr>
          <w:lang w:val="en-US"/>
        </w:rPr>
      </w:pPr>
    </w:p>
    <w:p w14:paraId="5D86FB22" w14:textId="1E5D32A7" w:rsidR="000A5BEF" w:rsidRDefault="000A5BEF" w:rsidP="002027A9">
      <w:pPr>
        <w:pStyle w:val="A"/>
        <w:rPr>
          <w:lang w:val="en-US"/>
        </w:rPr>
      </w:pPr>
    </w:p>
    <w:p w14:paraId="786CE856" w14:textId="051A29E0" w:rsidR="000A5BEF" w:rsidRDefault="000A5BEF" w:rsidP="002027A9">
      <w:pPr>
        <w:pStyle w:val="A"/>
        <w:rPr>
          <w:lang w:val="en-US"/>
        </w:rPr>
      </w:pPr>
    </w:p>
    <w:p w14:paraId="57C528F3" w14:textId="77777777" w:rsidR="000A5BEF" w:rsidRPr="0024372F" w:rsidRDefault="000A5BEF" w:rsidP="002027A9">
      <w:pPr>
        <w:pStyle w:val="A"/>
        <w:rPr>
          <w:lang w:val="en-US"/>
        </w:rPr>
      </w:pPr>
    </w:p>
    <w:p w14:paraId="028C20E5" w14:textId="717470A9" w:rsidR="000A5BEF" w:rsidRPr="000A5BEF" w:rsidRDefault="0024372F" w:rsidP="000B33ED">
      <w:pPr>
        <w:spacing w:after="0" w:line="240" w:lineRule="auto"/>
        <w:ind w:left="180" w:right="116"/>
        <w:jc w:val="both"/>
        <w:rPr>
          <w:rFonts w:cs="Times New Roman"/>
          <w:b/>
          <w:bCs/>
        </w:rPr>
      </w:pPr>
      <w:r w:rsidRPr="000A5BEF">
        <w:rPr>
          <w:rFonts w:cs="Times New Roman"/>
          <w:b/>
          <w:bCs/>
        </w:rPr>
        <w:lastRenderedPageBreak/>
        <w:t>Table</w:t>
      </w:r>
      <w:r w:rsidR="000A5BEF" w:rsidRPr="000A5BEF">
        <w:rPr>
          <w:rFonts w:cs="Times New Roman"/>
          <w:b/>
          <w:bCs/>
        </w:rPr>
        <w:t xml:space="preserve"> </w:t>
      </w:r>
      <w:r w:rsidRPr="000A5BEF">
        <w:rPr>
          <w:rFonts w:cs="Times New Roman"/>
          <w:b/>
          <w:bCs/>
        </w:rPr>
        <w:t>5</w:t>
      </w:r>
    </w:p>
    <w:p w14:paraId="1322FB1A" w14:textId="3A9CC06C" w:rsidR="0024372F" w:rsidRDefault="0024372F" w:rsidP="000B33ED">
      <w:pPr>
        <w:spacing w:after="0" w:line="240" w:lineRule="auto"/>
        <w:ind w:left="180" w:right="116"/>
        <w:jc w:val="both"/>
        <w:rPr>
          <w:rFonts w:cs="Times New Roman"/>
          <w:lang w:val="en-US"/>
        </w:rPr>
      </w:pPr>
      <w:r w:rsidRPr="000A5BEF">
        <w:rPr>
          <w:rFonts w:cs="Times New Roman"/>
          <w:lang w:val="en-US"/>
        </w:rPr>
        <w:t>Result of the correlation coefficient (</w:t>
      </w:r>
      <w:r w:rsidRPr="000A5BEF">
        <w:rPr>
          <w:rFonts w:cs="Times New Roman"/>
          <w:i/>
          <w:iCs/>
          <w:lang w:val="en-US"/>
        </w:rPr>
        <w:t>r</w:t>
      </w:r>
      <w:r w:rsidRPr="000A5BEF">
        <w:rPr>
          <w:rFonts w:cs="Times New Roman"/>
          <w:lang w:val="en-US"/>
        </w:rPr>
        <w:t>) with a range of -1 for each vegetation index and each type of resistivity data for the ancient river and buried properties</w:t>
      </w:r>
    </w:p>
    <w:tbl>
      <w:tblPr>
        <w:tblStyle w:val="GridTable1Light-Accent11"/>
        <w:tblpPr w:leftFromText="180" w:rightFromText="180" w:vertAnchor="text" w:tblpXSpec="center" w:tblpY="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953"/>
        <w:gridCol w:w="1017"/>
        <w:gridCol w:w="783"/>
        <w:gridCol w:w="796"/>
        <w:gridCol w:w="791"/>
        <w:gridCol w:w="845"/>
        <w:gridCol w:w="789"/>
        <w:gridCol w:w="1017"/>
        <w:gridCol w:w="876"/>
        <w:gridCol w:w="876"/>
      </w:tblGrid>
      <w:tr w:rsidR="000B33ED" w:rsidRPr="009555D2" w14:paraId="465FD72E" w14:textId="77777777" w:rsidTr="005C1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vMerge w:val="restart"/>
            <w:tcBorders>
              <w:top w:val="single" w:sz="4" w:space="0" w:color="auto"/>
              <w:bottom w:val="single" w:sz="4" w:space="0" w:color="auto"/>
            </w:tcBorders>
          </w:tcPr>
          <w:p w14:paraId="4151E042" w14:textId="77777777" w:rsidR="000B33ED" w:rsidRPr="009555D2" w:rsidRDefault="000B33ED" w:rsidP="00154FCA">
            <w:pPr>
              <w:autoSpaceDE w:val="0"/>
              <w:autoSpaceDN w:val="0"/>
              <w:adjustRightInd w:val="0"/>
              <w:rPr>
                <w:rFonts w:asciiTheme="minorHAnsi" w:eastAsia="Yu Mincho" w:hAnsiTheme="minorHAnsi" w:cstheme="minorHAnsi"/>
                <w:b w:val="0"/>
                <w:bCs w:val="0"/>
                <w:sz w:val="18"/>
                <w:szCs w:val="18"/>
                <w:lang w:val="en-GB"/>
              </w:rPr>
            </w:pPr>
          </w:p>
        </w:tc>
        <w:tc>
          <w:tcPr>
            <w:tcW w:w="953" w:type="dxa"/>
            <w:tcBorders>
              <w:top w:val="single" w:sz="4" w:space="0" w:color="auto"/>
              <w:bottom w:val="single" w:sz="4" w:space="0" w:color="auto"/>
            </w:tcBorders>
          </w:tcPr>
          <w:p w14:paraId="7D1517E5" w14:textId="77777777" w:rsidR="000B33ED" w:rsidRPr="005C1394" w:rsidRDefault="000B33ED"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NDVI</w:t>
            </w:r>
          </w:p>
        </w:tc>
        <w:tc>
          <w:tcPr>
            <w:tcW w:w="1017" w:type="dxa"/>
            <w:tcBorders>
              <w:top w:val="single" w:sz="4" w:space="0" w:color="auto"/>
              <w:bottom w:val="single" w:sz="4" w:space="0" w:color="auto"/>
            </w:tcBorders>
          </w:tcPr>
          <w:p w14:paraId="2D4296D1" w14:textId="77777777" w:rsidR="000B33ED" w:rsidRPr="005C1394" w:rsidRDefault="000B33ED"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GNDVI</w:t>
            </w:r>
          </w:p>
        </w:tc>
        <w:tc>
          <w:tcPr>
            <w:tcW w:w="783" w:type="dxa"/>
            <w:tcBorders>
              <w:top w:val="single" w:sz="4" w:space="0" w:color="auto"/>
              <w:bottom w:val="single" w:sz="4" w:space="0" w:color="auto"/>
            </w:tcBorders>
          </w:tcPr>
          <w:p w14:paraId="6EA095AE" w14:textId="77777777" w:rsidR="000B33ED" w:rsidRPr="005C1394" w:rsidRDefault="000B33ED"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SR</w:t>
            </w:r>
          </w:p>
        </w:tc>
        <w:tc>
          <w:tcPr>
            <w:tcW w:w="796" w:type="dxa"/>
            <w:tcBorders>
              <w:top w:val="single" w:sz="4" w:space="0" w:color="auto"/>
              <w:bottom w:val="single" w:sz="4" w:space="0" w:color="auto"/>
            </w:tcBorders>
          </w:tcPr>
          <w:p w14:paraId="219B3889" w14:textId="77777777" w:rsidR="000B33ED" w:rsidRPr="005C1394" w:rsidRDefault="000B33ED"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MSR</w:t>
            </w:r>
          </w:p>
        </w:tc>
        <w:tc>
          <w:tcPr>
            <w:tcW w:w="791" w:type="dxa"/>
            <w:tcBorders>
              <w:top w:val="single" w:sz="4" w:space="0" w:color="auto"/>
              <w:bottom w:val="single" w:sz="4" w:space="0" w:color="auto"/>
            </w:tcBorders>
          </w:tcPr>
          <w:p w14:paraId="5AD4B137" w14:textId="77777777" w:rsidR="000B33ED" w:rsidRPr="005C1394" w:rsidRDefault="000B33ED"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DVI</w:t>
            </w:r>
          </w:p>
        </w:tc>
        <w:tc>
          <w:tcPr>
            <w:tcW w:w="845" w:type="dxa"/>
            <w:tcBorders>
              <w:top w:val="single" w:sz="4" w:space="0" w:color="auto"/>
              <w:bottom w:val="single" w:sz="4" w:space="0" w:color="auto"/>
            </w:tcBorders>
          </w:tcPr>
          <w:p w14:paraId="2C9F75D4" w14:textId="77777777" w:rsidR="000B33ED" w:rsidRPr="005C1394" w:rsidRDefault="000B33ED"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RDVI</w:t>
            </w:r>
          </w:p>
        </w:tc>
        <w:tc>
          <w:tcPr>
            <w:tcW w:w="789" w:type="dxa"/>
            <w:tcBorders>
              <w:top w:val="single" w:sz="4" w:space="0" w:color="auto"/>
              <w:bottom w:val="single" w:sz="4" w:space="0" w:color="auto"/>
            </w:tcBorders>
          </w:tcPr>
          <w:p w14:paraId="7C78209A" w14:textId="77777777" w:rsidR="000B33ED" w:rsidRPr="005C1394" w:rsidRDefault="000B33ED"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EVI</w:t>
            </w:r>
          </w:p>
        </w:tc>
        <w:tc>
          <w:tcPr>
            <w:tcW w:w="1017" w:type="dxa"/>
            <w:tcBorders>
              <w:top w:val="single" w:sz="4" w:space="0" w:color="auto"/>
              <w:bottom w:val="single" w:sz="4" w:space="0" w:color="auto"/>
            </w:tcBorders>
          </w:tcPr>
          <w:p w14:paraId="2787A4F0" w14:textId="77777777" w:rsidR="000B33ED" w:rsidRPr="005C1394" w:rsidRDefault="000B33ED"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MSAVI</w:t>
            </w:r>
          </w:p>
        </w:tc>
        <w:tc>
          <w:tcPr>
            <w:tcW w:w="876" w:type="dxa"/>
            <w:tcBorders>
              <w:top w:val="single" w:sz="4" w:space="0" w:color="auto"/>
              <w:bottom w:val="single" w:sz="4" w:space="0" w:color="auto"/>
            </w:tcBorders>
          </w:tcPr>
          <w:p w14:paraId="19CF61BB" w14:textId="77777777" w:rsidR="000B33ED" w:rsidRPr="005C1394" w:rsidRDefault="000B33ED"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RAR</w:t>
            </w:r>
          </w:p>
        </w:tc>
        <w:tc>
          <w:tcPr>
            <w:tcW w:w="876" w:type="dxa"/>
            <w:tcBorders>
              <w:top w:val="single" w:sz="4" w:space="0" w:color="auto"/>
              <w:bottom w:val="single" w:sz="4" w:space="0" w:color="auto"/>
            </w:tcBorders>
          </w:tcPr>
          <w:p w14:paraId="43E514E8" w14:textId="77777777" w:rsidR="000B33ED" w:rsidRPr="005C1394" w:rsidRDefault="000B33ED" w:rsidP="00154FC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 xml:space="preserve">RBP </w:t>
            </w:r>
          </w:p>
        </w:tc>
      </w:tr>
      <w:tr w:rsidR="000B33ED" w:rsidRPr="009555D2" w14:paraId="5817AF23" w14:textId="77777777" w:rsidTr="005C1394">
        <w:tc>
          <w:tcPr>
            <w:cnfStyle w:val="001000000000" w:firstRow="0" w:lastRow="0" w:firstColumn="1" w:lastColumn="0" w:oddVBand="0" w:evenVBand="0" w:oddHBand="0" w:evenHBand="0" w:firstRowFirstColumn="0" w:firstRowLastColumn="0" w:lastRowFirstColumn="0" w:lastRowLastColumn="0"/>
            <w:tcW w:w="843" w:type="dxa"/>
            <w:vMerge/>
            <w:tcBorders>
              <w:top w:val="single" w:sz="4" w:space="0" w:color="auto"/>
            </w:tcBorders>
          </w:tcPr>
          <w:p w14:paraId="65CEE3D0" w14:textId="77777777" w:rsidR="000B33ED" w:rsidRPr="009555D2" w:rsidRDefault="000B33ED" w:rsidP="00154FCA">
            <w:pPr>
              <w:autoSpaceDE w:val="0"/>
              <w:autoSpaceDN w:val="0"/>
              <w:adjustRightInd w:val="0"/>
              <w:jc w:val="both"/>
              <w:rPr>
                <w:rFonts w:asciiTheme="minorHAnsi" w:eastAsia="Yu Mincho" w:hAnsiTheme="minorHAnsi" w:cstheme="minorHAnsi"/>
                <w:b w:val="0"/>
                <w:bCs w:val="0"/>
                <w:sz w:val="18"/>
                <w:szCs w:val="18"/>
                <w:lang w:val="en-GB"/>
              </w:rPr>
            </w:pPr>
          </w:p>
        </w:tc>
        <w:tc>
          <w:tcPr>
            <w:tcW w:w="953" w:type="dxa"/>
            <w:tcBorders>
              <w:top w:val="single" w:sz="4" w:space="0" w:color="auto"/>
            </w:tcBorders>
          </w:tcPr>
          <w:p w14:paraId="4D06962D"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0.067</w:t>
            </w:r>
          </w:p>
        </w:tc>
        <w:tc>
          <w:tcPr>
            <w:tcW w:w="1017" w:type="dxa"/>
            <w:tcBorders>
              <w:top w:val="single" w:sz="4" w:space="0" w:color="auto"/>
            </w:tcBorders>
          </w:tcPr>
          <w:p w14:paraId="10BC209B"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0.19</w:t>
            </w:r>
          </w:p>
        </w:tc>
        <w:tc>
          <w:tcPr>
            <w:tcW w:w="783" w:type="dxa"/>
            <w:tcBorders>
              <w:top w:val="single" w:sz="4" w:space="0" w:color="auto"/>
            </w:tcBorders>
          </w:tcPr>
          <w:p w14:paraId="1C3B8F23"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1.143</w:t>
            </w:r>
          </w:p>
        </w:tc>
        <w:tc>
          <w:tcPr>
            <w:tcW w:w="796" w:type="dxa"/>
            <w:tcBorders>
              <w:top w:val="single" w:sz="4" w:space="0" w:color="auto"/>
            </w:tcBorders>
          </w:tcPr>
          <w:p w14:paraId="33EEE75D"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0.478</w:t>
            </w:r>
          </w:p>
        </w:tc>
        <w:tc>
          <w:tcPr>
            <w:tcW w:w="791" w:type="dxa"/>
            <w:tcBorders>
              <w:top w:val="single" w:sz="4" w:space="0" w:color="auto"/>
            </w:tcBorders>
          </w:tcPr>
          <w:p w14:paraId="6F2EB6B8"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w:t>
            </w:r>
          </w:p>
        </w:tc>
        <w:tc>
          <w:tcPr>
            <w:tcW w:w="845" w:type="dxa"/>
            <w:tcBorders>
              <w:top w:val="single" w:sz="4" w:space="0" w:color="auto"/>
            </w:tcBorders>
          </w:tcPr>
          <w:p w14:paraId="6E24AC2C"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0.082</w:t>
            </w:r>
          </w:p>
        </w:tc>
        <w:tc>
          <w:tcPr>
            <w:tcW w:w="789" w:type="dxa"/>
            <w:tcBorders>
              <w:top w:val="single" w:sz="4" w:space="0" w:color="auto"/>
            </w:tcBorders>
          </w:tcPr>
          <w:p w14:paraId="0FEE1397"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0.448</w:t>
            </w:r>
          </w:p>
        </w:tc>
        <w:tc>
          <w:tcPr>
            <w:tcW w:w="1017" w:type="dxa"/>
            <w:tcBorders>
              <w:top w:val="single" w:sz="4" w:space="0" w:color="auto"/>
            </w:tcBorders>
          </w:tcPr>
          <w:p w14:paraId="3B724838"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-3.35</w:t>
            </w:r>
          </w:p>
        </w:tc>
        <w:tc>
          <w:tcPr>
            <w:tcW w:w="876" w:type="dxa"/>
            <w:tcBorders>
              <w:top w:val="single" w:sz="4" w:space="0" w:color="auto"/>
            </w:tcBorders>
          </w:tcPr>
          <w:p w14:paraId="2A49674F"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21.25</w:t>
            </w:r>
          </w:p>
        </w:tc>
        <w:tc>
          <w:tcPr>
            <w:tcW w:w="876" w:type="dxa"/>
            <w:tcBorders>
              <w:top w:val="single" w:sz="4" w:space="0" w:color="auto"/>
            </w:tcBorders>
          </w:tcPr>
          <w:p w14:paraId="5D0D08CE"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1312.5</w:t>
            </w:r>
          </w:p>
        </w:tc>
      </w:tr>
      <w:tr w:rsidR="000B33ED" w:rsidRPr="009555D2" w14:paraId="3381825C" w14:textId="77777777" w:rsidTr="005C1394">
        <w:tc>
          <w:tcPr>
            <w:cnfStyle w:val="001000000000" w:firstRow="0" w:lastRow="0" w:firstColumn="1" w:lastColumn="0" w:oddVBand="0" w:evenVBand="0" w:oddHBand="0" w:evenHBand="0" w:firstRowFirstColumn="0" w:firstRowLastColumn="0" w:lastRowFirstColumn="0" w:lastRowLastColumn="0"/>
            <w:tcW w:w="843" w:type="dxa"/>
            <w:vMerge/>
          </w:tcPr>
          <w:p w14:paraId="1FA6A590" w14:textId="77777777" w:rsidR="000B33ED" w:rsidRPr="009555D2" w:rsidRDefault="000B33ED" w:rsidP="00154FCA">
            <w:pPr>
              <w:autoSpaceDE w:val="0"/>
              <w:autoSpaceDN w:val="0"/>
              <w:adjustRightInd w:val="0"/>
              <w:jc w:val="both"/>
              <w:rPr>
                <w:rFonts w:asciiTheme="minorHAnsi" w:eastAsia="Yu Mincho" w:hAnsiTheme="minorHAnsi" w:cstheme="minorHAnsi"/>
                <w:b w:val="0"/>
                <w:bCs w:val="0"/>
                <w:sz w:val="18"/>
                <w:szCs w:val="18"/>
                <w:lang w:val="en-GB"/>
              </w:rPr>
            </w:pPr>
          </w:p>
        </w:tc>
        <w:tc>
          <w:tcPr>
            <w:tcW w:w="953" w:type="dxa"/>
          </w:tcPr>
          <w:p w14:paraId="572A429A"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0.111</w:t>
            </w:r>
          </w:p>
        </w:tc>
        <w:tc>
          <w:tcPr>
            <w:tcW w:w="1017" w:type="dxa"/>
          </w:tcPr>
          <w:p w14:paraId="0B49FE1E"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w:t>
            </w:r>
          </w:p>
        </w:tc>
        <w:tc>
          <w:tcPr>
            <w:tcW w:w="783" w:type="dxa"/>
          </w:tcPr>
          <w:p w14:paraId="30A67527"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1.25</w:t>
            </w:r>
          </w:p>
        </w:tc>
        <w:tc>
          <w:tcPr>
            <w:tcW w:w="796" w:type="dxa"/>
          </w:tcPr>
          <w:p w14:paraId="7CE9321B"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0.44</w:t>
            </w:r>
          </w:p>
        </w:tc>
        <w:tc>
          <w:tcPr>
            <w:tcW w:w="791" w:type="dxa"/>
          </w:tcPr>
          <w:p w14:paraId="193426F4"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0.165</w:t>
            </w:r>
          </w:p>
        </w:tc>
        <w:tc>
          <w:tcPr>
            <w:tcW w:w="845" w:type="dxa"/>
          </w:tcPr>
          <w:p w14:paraId="00C71CE9"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0.135</w:t>
            </w:r>
          </w:p>
        </w:tc>
        <w:tc>
          <w:tcPr>
            <w:tcW w:w="789" w:type="dxa"/>
          </w:tcPr>
          <w:p w14:paraId="71ACC7F2"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1.01</w:t>
            </w:r>
          </w:p>
        </w:tc>
        <w:tc>
          <w:tcPr>
            <w:tcW w:w="1017" w:type="dxa"/>
          </w:tcPr>
          <w:p w14:paraId="0C7F7CB0"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-3.81</w:t>
            </w:r>
          </w:p>
        </w:tc>
        <w:tc>
          <w:tcPr>
            <w:tcW w:w="876" w:type="dxa"/>
          </w:tcPr>
          <w:p w14:paraId="11DF2F00"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32.5</w:t>
            </w:r>
          </w:p>
        </w:tc>
        <w:tc>
          <w:tcPr>
            <w:tcW w:w="876" w:type="dxa"/>
          </w:tcPr>
          <w:p w14:paraId="3A1ADC48"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1625</w:t>
            </w:r>
          </w:p>
        </w:tc>
      </w:tr>
      <w:tr w:rsidR="000B33ED" w:rsidRPr="009555D2" w14:paraId="1FD7FBD7" w14:textId="77777777" w:rsidTr="005C1394">
        <w:tc>
          <w:tcPr>
            <w:cnfStyle w:val="001000000000" w:firstRow="0" w:lastRow="0" w:firstColumn="1" w:lastColumn="0" w:oddVBand="0" w:evenVBand="0" w:oddHBand="0" w:evenHBand="0" w:firstRowFirstColumn="0" w:firstRowLastColumn="0" w:lastRowFirstColumn="0" w:lastRowLastColumn="0"/>
            <w:tcW w:w="843" w:type="dxa"/>
            <w:vMerge/>
          </w:tcPr>
          <w:p w14:paraId="0A72D2D9" w14:textId="77777777" w:rsidR="000B33ED" w:rsidRPr="009555D2" w:rsidRDefault="000B33ED" w:rsidP="00154FCA">
            <w:pPr>
              <w:autoSpaceDE w:val="0"/>
              <w:autoSpaceDN w:val="0"/>
              <w:adjustRightInd w:val="0"/>
              <w:jc w:val="both"/>
              <w:rPr>
                <w:rFonts w:asciiTheme="minorHAnsi" w:eastAsia="Yu Mincho" w:hAnsiTheme="minorHAnsi" w:cstheme="minorHAnsi"/>
                <w:b w:val="0"/>
                <w:bCs w:val="0"/>
                <w:sz w:val="18"/>
                <w:szCs w:val="18"/>
                <w:lang w:val="en-GB"/>
              </w:rPr>
            </w:pPr>
          </w:p>
        </w:tc>
        <w:tc>
          <w:tcPr>
            <w:tcW w:w="953" w:type="dxa"/>
          </w:tcPr>
          <w:p w14:paraId="720F96FC"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0.146</w:t>
            </w:r>
          </w:p>
        </w:tc>
        <w:tc>
          <w:tcPr>
            <w:tcW w:w="1017" w:type="dxa"/>
          </w:tcPr>
          <w:p w14:paraId="5B203EAD"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0.241</w:t>
            </w:r>
          </w:p>
        </w:tc>
        <w:tc>
          <w:tcPr>
            <w:tcW w:w="783" w:type="dxa"/>
          </w:tcPr>
          <w:p w14:paraId="7F1159DF"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1.343</w:t>
            </w:r>
          </w:p>
        </w:tc>
        <w:tc>
          <w:tcPr>
            <w:tcW w:w="796" w:type="dxa"/>
          </w:tcPr>
          <w:p w14:paraId="57B1B6D9"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0.438</w:t>
            </w:r>
          </w:p>
        </w:tc>
        <w:tc>
          <w:tcPr>
            <w:tcW w:w="791" w:type="dxa"/>
          </w:tcPr>
          <w:p w14:paraId="57C07FF7"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0.23</w:t>
            </w:r>
          </w:p>
        </w:tc>
        <w:tc>
          <w:tcPr>
            <w:tcW w:w="845" w:type="dxa"/>
          </w:tcPr>
          <w:p w14:paraId="0EFA1E78"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0.184</w:t>
            </w:r>
          </w:p>
        </w:tc>
        <w:tc>
          <w:tcPr>
            <w:tcW w:w="789" w:type="dxa"/>
          </w:tcPr>
          <w:p w14:paraId="2C6F9F1D"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1.06</w:t>
            </w:r>
          </w:p>
        </w:tc>
        <w:tc>
          <w:tcPr>
            <w:tcW w:w="1017" w:type="dxa"/>
          </w:tcPr>
          <w:p w14:paraId="5137D3E1"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-4.44</w:t>
            </w:r>
          </w:p>
        </w:tc>
        <w:tc>
          <w:tcPr>
            <w:tcW w:w="876" w:type="dxa"/>
          </w:tcPr>
          <w:p w14:paraId="65C84F5B"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43.75</w:t>
            </w:r>
          </w:p>
        </w:tc>
        <w:tc>
          <w:tcPr>
            <w:tcW w:w="876" w:type="dxa"/>
          </w:tcPr>
          <w:p w14:paraId="5099301F"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1937.5</w:t>
            </w:r>
          </w:p>
        </w:tc>
      </w:tr>
      <w:tr w:rsidR="000B33ED" w:rsidRPr="009555D2" w14:paraId="63A3FB39" w14:textId="77777777" w:rsidTr="005C1394">
        <w:tc>
          <w:tcPr>
            <w:cnfStyle w:val="001000000000" w:firstRow="0" w:lastRow="0" w:firstColumn="1" w:lastColumn="0" w:oddVBand="0" w:evenVBand="0" w:oddHBand="0" w:evenHBand="0" w:firstRowFirstColumn="0" w:firstRowLastColumn="0" w:lastRowFirstColumn="0" w:lastRowLastColumn="0"/>
            <w:tcW w:w="843" w:type="dxa"/>
            <w:vMerge/>
          </w:tcPr>
          <w:p w14:paraId="3BE53422" w14:textId="77777777" w:rsidR="000B33ED" w:rsidRPr="009555D2" w:rsidRDefault="000B33ED" w:rsidP="00154FCA">
            <w:pPr>
              <w:autoSpaceDE w:val="0"/>
              <w:autoSpaceDN w:val="0"/>
              <w:adjustRightInd w:val="0"/>
              <w:jc w:val="both"/>
              <w:rPr>
                <w:rFonts w:asciiTheme="minorHAnsi" w:eastAsia="Yu Mincho" w:hAnsiTheme="minorHAnsi" w:cstheme="minorHAnsi"/>
                <w:b w:val="0"/>
                <w:bCs w:val="0"/>
                <w:sz w:val="18"/>
                <w:szCs w:val="18"/>
                <w:lang w:val="en-GB"/>
              </w:rPr>
            </w:pPr>
          </w:p>
        </w:tc>
        <w:tc>
          <w:tcPr>
            <w:tcW w:w="953" w:type="dxa"/>
          </w:tcPr>
          <w:p w14:paraId="630DCBB3"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0.086</w:t>
            </w:r>
          </w:p>
        </w:tc>
        <w:tc>
          <w:tcPr>
            <w:tcW w:w="1017" w:type="dxa"/>
          </w:tcPr>
          <w:p w14:paraId="234C7995"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0.16</w:t>
            </w:r>
          </w:p>
        </w:tc>
        <w:tc>
          <w:tcPr>
            <w:tcW w:w="783" w:type="dxa"/>
          </w:tcPr>
          <w:p w14:paraId="47E0FDA7"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1.188</w:t>
            </w:r>
          </w:p>
        </w:tc>
        <w:tc>
          <w:tcPr>
            <w:tcW w:w="796" w:type="dxa"/>
          </w:tcPr>
          <w:p w14:paraId="1D6FD62C"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0.433</w:t>
            </w:r>
          </w:p>
        </w:tc>
        <w:tc>
          <w:tcPr>
            <w:tcW w:w="791" w:type="dxa"/>
          </w:tcPr>
          <w:p w14:paraId="66781C0A"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0.12</w:t>
            </w:r>
          </w:p>
        </w:tc>
        <w:tc>
          <w:tcPr>
            <w:tcW w:w="845" w:type="dxa"/>
          </w:tcPr>
          <w:p w14:paraId="28D8A578"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0.10</w:t>
            </w:r>
          </w:p>
        </w:tc>
        <w:tc>
          <w:tcPr>
            <w:tcW w:w="789" w:type="dxa"/>
          </w:tcPr>
          <w:p w14:paraId="1A50AD69"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1.33</w:t>
            </w:r>
          </w:p>
        </w:tc>
        <w:tc>
          <w:tcPr>
            <w:tcW w:w="1017" w:type="dxa"/>
          </w:tcPr>
          <w:p w14:paraId="24194D31"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-3.3</w:t>
            </w:r>
          </w:p>
        </w:tc>
        <w:tc>
          <w:tcPr>
            <w:tcW w:w="876" w:type="dxa"/>
          </w:tcPr>
          <w:p w14:paraId="79B3258B"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55</w:t>
            </w:r>
          </w:p>
        </w:tc>
        <w:tc>
          <w:tcPr>
            <w:tcW w:w="876" w:type="dxa"/>
          </w:tcPr>
          <w:p w14:paraId="68B4300B"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2250</w:t>
            </w:r>
          </w:p>
        </w:tc>
      </w:tr>
      <w:tr w:rsidR="000B33ED" w:rsidRPr="009555D2" w14:paraId="150205FE" w14:textId="77777777" w:rsidTr="005C1394">
        <w:tc>
          <w:tcPr>
            <w:cnfStyle w:val="001000000000" w:firstRow="0" w:lastRow="0" w:firstColumn="1" w:lastColumn="0" w:oddVBand="0" w:evenVBand="0" w:oddHBand="0" w:evenHBand="0" w:firstRowFirstColumn="0" w:firstRowLastColumn="0" w:lastRowFirstColumn="0" w:lastRowLastColumn="0"/>
            <w:tcW w:w="843" w:type="dxa"/>
            <w:vMerge/>
          </w:tcPr>
          <w:p w14:paraId="24E9A2C2" w14:textId="77777777" w:rsidR="000B33ED" w:rsidRPr="009555D2" w:rsidRDefault="000B33ED" w:rsidP="00154FCA">
            <w:pPr>
              <w:autoSpaceDE w:val="0"/>
              <w:autoSpaceDN w:val="0"/>
              <w:adjustRightInd w:val="0"/>
              <w:jc w:val="both"/>
              <w:rPr>
                <w:rFonts w:asciiTheme="minorHAnsi" w:eastAsia="Yu Mincho" w:hAnsiTheme="minorHAnsi" w:cstheme="minorHAnsi"/>
                <w:b w:val="0"/>
                <w:bCs w:val="0"/>
                <w:sz w:val="18"/>
                <w:szCs w:val="18"/>
                <w:lang w:val="en-GB"/>
              </w:rPr>
            </w:pPr>
          </w:p>
        </w:tc>
        <w:tc>
          <w:tcPr>
            <w:tcW w:w="953" w:type="dxa"/>
          </w:tcPr>
          <w:p w14:paraId="3215B947"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0.144</w:t>
            </w:r>
          </w:p>
        </w:tc>
        <w:tc>
          <w:tcPr>
            <w:tcW w:w="1017" w:type="dxa"/>
          </w:tcPr>
          <w:p w14:paraId="0671B99B"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0.26</w:t>
            </w:r>
          </w:p>
        </w:tc>
        <w:tc>
          <w:tcPr>
            <w:tcW w:w="783" w:type="dxa"/>
          </w:tcPr>
          <w:p w14:paraId="53EA167F"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1.336</w:t>
            </w:r>
          </w:p>
        </w:tc>
        <w:tc>
          <w:tcPr>
            <w:tcW w:w="796" w:type="dxa"/>
          </w:tcPr>
          <w:p w14:paraId="566DDFE6"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0.458</w:t>
            </w:r>
          </w:p>
        </w:tc>
        <w:tc>
          <w:tcPr>
            <w:tcW w:w="791" w:type="dxa"/>
          </w:tcPr>
          <w:p w14:paraId="50336B9F"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0.235</w:t>
            </w:r>
          </w:p>
        </w:tc>
        <w:tc>
          <w:tcPr>
            <w:tcW w:w="845" w:type="dxa"/>
          </w:tcPr>
          <w:p w14:paraId="5FB49045"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0.184</w:t>
            </w:r>
          </w:p>
        </w:tc>
        <w:tc>
          <w:tcPr>
            <w:tcW w:w="789" w:type="dxa"/>
          </w:tcPr>
          <w:p w14:paraId="2D0F9B48"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0.77</w:t>
            </w:r>
          </w:p>
        </w:tc>
        <w:tc>
          <w:tcPr>
            <w:tcW w:w="1017" w:type="dxa"/>
          </w:tcPr>
          <w:p w14:paraId="4AC4E86E"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-4.64</w:t>
            </w:r>
          </w:p>
        </w:tc>
        <w:tc>
          <w:tcPr>
            <w:tcW w:w="876" w:type="dxa"/>
          </w:tcPr>
          <w:p w14:paraId="7F15A48A"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66.25</w:t>
            </w:r>
          </w:p>
        </w:tc>
        <w:tc>
          <w:tcPr>
            <w:tcW w:w="876" w:type="dxa"/>
          </w:tcPr>
          <w:p w14:paraId="7C564780"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2562.5</w:t>
            </w:r>
          </w:p>
        </w:tc>
      </w:tr>
      <w:tr w:rsidR="000B33ED" w:rsidRPr="009555D2" w14:paraId="38DA9903" w14:textId="77777777" w:rsidTr="005C1394">
        <w:tc>
          <w:tcPr>
            <w:cnfStyle w:val="001000000000" w:firstRow="0" w:lastRow="0" w:firstColumn="1" w:lastColumn="0" w:oddVBand="0" w:evenVBand="0" w:oddHBand="0" w:evenHBand="0" w:firstRowFirstColumn="0" w:firstRowLastColumn="0" w:lastRowFirstColumn="0" w:lastRowLastColumn="0"/>
            <w:tcW w:w="843" w:type="dxa"/>
            <w:vMerge/>
          </w:tcPr>
          <w:p w14:paraId="09ACAAEE" w14:textId="77777777" w:rsidR="000B33ED" w:rsidRPr="009555D2" w:rsidRDefault="000B33ED" w:rsidP="00154FCA">
            <w:pPr>
              <w:autoSpaceDE w:val="0"/>
              <w:autoSpaceDN w:val="0"/>
              <w:adjustRightInd w:val="0"/>
              <w:jc w:val="both"/>
              <w:rPr>
                <w:rFonts w:asciiTheme="minorHAnsi" w:eastAsia="Yu Mincho" w:hAnsiTheme="minorHAnsi" w:cstheme="minorHAnsi"/>
                <w:b w:val="0"/>
                <w:bCs w:val="0"/>
                <w:sz w:val="18"/>
                <w:szCs w:val="18"/>
                <w:lang w:val="en-GB"/>
              </w:rPr>
            </w:pPr>
          </w:p>
        </w:tc>
        <w:tc>
          <w:tcPr>
            <w:tcW w:w="953" w:type="dxa"/>
          </w:tcPr>
          <w:p w14:paraId="40263524"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0.161</w:t>
            </w:r>
          </w:p>
        </w:tc>
        <w:tc>
          <w:tcPr>
            <w:tcW w:w="1017" w:type="dxa"/>
          </w:tcPr>
          <w:p w14:paraId="14D18743"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0.275</w:t>
            </w:r>
          </w:p>
        </w:tc>
        <w:tc>
          <w:tcPr>
            <w:tcW w:w="783" w:type="dxa"/>
          </w:tcPr>
          <w:p w14:paraId="453EDF5E"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1.383</w:t>
            </w:r>
          </w:p>
        </w:tc>
        <w:tc>
          <w:tcPr>
            <w:tcW w:w="796" w:type="dxa"/>
          </w:tcPr>
          <w:p w14:paraId="180C04AC"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0.453</w:t>
            </w:r>
          </w:p>
        </w:tc>
        <w:tc>
          <w:tcPr>
            <w:tcW w:w="791" w:type="dxa"/>
          </w:tcPr>
          <w:p w14:paraId="201C0710"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0.268</w:t>
            </w:r>
          </w:p>
        </w:tc>
        <w:tc>
          <w:tcPr>
            <w:tcW w:w="845" w:type="dxa"/>
          </w:tcPr>
          <w:p w14:paraId="6E47BCB6"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0.208</w:t>
            </w:r>
          </w:p>
        </w:tc>
        <w:tc>
          <w:tcPr>
            <w:tcW w:w="789" w:type="dxa"/>
          </w:tcPr>
          <w:p w14:paraId="511F9265"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0.84</w:t>
            </w:r>
          </w:p>
        </w:tc>
        <w:tc>
          <w:tcPr>
            <w:tcW w:w="1017" w:type="dxa"/>
          </w:tcPr>
          <w:p w14:paraId="43400555"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-4.91</w:t>
            </w:r>
          </w:p>
        </w:tc>
        <w:tc>
          <w:tcPr>
            <w:tcW w:w="876" w:type="dxa"/>
          </w:tcPr>
          <w:p w14:paraId="0A196327"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77.5</w:t>
            </w:r>
          </w:p>
        </w:tc>
        <w:tc>
          <w:tcPr>
            <w:tcW w:w="876" w:type="dxa"/>
          </w:tcPr>
          <w:p w14:paraId="0AFD7768"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2875</w:t>
            </w:r>
          </w:p>
        </w:tc>
      </w:tr>
      <w:tr w:rsidR="000B33ED" w:rsidRPr="009555D2" w14:paraId="4195D9F2" w14:textId="77777777" w:rsidTr="005C1394">
        <w:tc>
          <w:tcPr>
            <w:cnfStyle w:val="001000000000" w:firstRow="0" w:lastRow="0" w:firstColumn="1" w:lastColumn="0" w:oddVBand="0" w:evenVBand="0" w:oddHBand="0" w:evenHBand="0" w:firstRowFirstColumn="0" w:firstRowLastColumn="0" w:lastRowFirstColumn="0" w:lastRowLastColumn="0"/>
            <w:tcW w:w="843" w:type="dxa"/>
            <w:vMerge/>
          </w:tcPr>
          <w:p w14:paraId="352CE5D3" w14:textId="77777777" w:rsidR="000B33ED" w:rsidRPr="009555D2" w:rsidRDefault="000B33ED" w:rsidP="00154FCA">
            <w:pPr>
              <w:autoSpaceDE w:val="0"/>
              <w:autoSpaceDN w:val="0"/>
              <w:adjustRightInd w:val="0"/>
              <w:jc w:val="both"/>
              <w:rPr>
                <w:rFonts w:asciiTheme="minorHAnsi" w:eastAsia="Yu Mincho" w:hAnsiTheme="minorHAnsi" w:cstheme="minorHAnsi"/>
                <w:b w:val="0"/>
                <w:bCs w:val="0"/>
                <w:sz w:val="18"/>
                <w:szCs w:val="18"/>
                <w:lang w:val="en-GB"/>
              </w:rPr>
            </w:pPr>
          </w:p>
        </w:tc>
        <w:tc>
          <w:tcPr>
            <w:tcW w:w="953" w:type="dxa"/>
          </w:tcPr>
          <w:p w14:paraId="1679B269"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0.150</w:t>
            </w:r>
          </w:p>
        </w:tc>
        <w:tc>
          <w:tcPr>
            <w:tcW w:w="1017" w:type="dxa"/>
          </w:tcPr>
          <w:p w14:paraId="55BE290E"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0.265</w:t>
            </w:r>
          </w:p>
        </w:tc>
        <w:tc>
          <w:tcPr>
            <w:tcW w:w="783" w:type="dxa"/>
          </w:tcPr>
          <w:p w14:paraId="7B39DFCA"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1.353</w:t>
            </w:r>
          </w:p>
        </w:tc>
        <w:tc>
          <w:tcPr>
            <w:tcW w:w="796" w:type="dxa"/>
          </w:tcPr>
          <w:p w14:paraId="764B4330"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0.456</w:t>
            </w:r>
          </w:p>
        </w:tc>
        <w:tc>
          <w:tcPr>
            <w:tcW w:w="791" w:type="dxa"/>
          </w:tcPr>
          <w:p w14:paraId="405D7D8D"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0.247</w:t>
            </w:r>
          </w:p>
        </w:tc>
        <w:tc>
          <w:tcPr>
            <w:tcW w:w="845" w:type="dxa"/>
          </w:tcPr>
          <w:p w14:paraId="5DA66077"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0.193</w:t>
            </w:r>
          </w:p>
        </w:tc>
        <w:tc>
          <w:tcPr>
            <w:tcW w:w="789" w:type="dxa"/>
          </w:tcPr>
          <w:p w14:paraId="52CF91B1"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0.8</w:t>
            </w:r>
          </w:p>
        </w:tc>
        <w:tc>
          <w:tcPr>
            <w:tcW w:w="1017" w:type="dxa"/>
          </w:tcPr>
          <w:p w14:paraId="001512B0"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-4.73</w:t>
            </w:r>
          </w:p>
        </w:tc>
        <w:tc>
          <w:tcPr>
            <w:tcW w:w="876" w:type="dxa"/>
          </w:tcPr>
          <w:p w14:paraId="437AA62E"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88.25</w:t>
            </w:r>
          </w:p>
        </w:tc>
        <w:tc>
          <w:tcPr>
            <w:tcW w:w="876" w:type="dxa"/>
          </w:tcPr>
          <w:p w14:paraId="53460E0D"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3187.5</w:t>
            </w:r>
          </w:p>
        </w:tc>
      </w:tr>
      <w:tr w:rsidR="000B33ED" w:rsidRPr="009555D2" w14:paraId="5294A7BF" w14:textId="77777777" w:rsidTr="005C1394">
        <w:tc>
          <w:tcPr>
            <w:cnfStyle w:val="001000000000" w:firstRow="0" w:lastRow="0" w:firstColumn="1" w:lastColumn="0" w:oddVBand="0" w:evenVBand="0" w:oddHBand="0" w:evenHBand="0" w:firstRowFirstColumn="0" w:firstRowLastColumn="0" w:lastRowFirstColumn="0" w:lastRowLastColumn="0"/>
            <w:tcW w:w="843" w:type="dxa"/>
            <w:vMerge/>
          </w:tcPr>
          <w:p w14:paraId="2CD6EEDC" w14:textId="77777777" w:rsidR="000B33ED" w:rsidRPr="009555D2" w:rsidRDefault="000B33ED" w:rsidP="00154FCA">
            <w:pPr>
              <w:autoSpaceDE w:val="0"/>
              <w:autoSpaceDN w:val="0"/>
              <w:adjustRightInd w:val="0"/>
              <w:jc w:val="both"/>
              <w:rPr>
                <w:rFonts w:asciiTheme="minorHAnsi" w:eastAsia="Yu Mincho" w:hAnsiTheme="minorHAnsi" w:cstheme="minorHAnsi"/>
                <w:b w:val="0"/>
                <w:bCs w:val="0"/>
                <w:sz w:val="18"/>
                <w:szCs w:val="18"/>
                <w:lang w:val="en-GB"/>
              </w:rPr>
            </w:pPr>
          </w:p>
        </w:tc>
        <w:tc>
          <w:tcPr>
            <w:tcW w:w="953" w:type="dxa"/>
          </w:tcPr>
          <w:p w14:paraId="4C962E82"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0.132</w:t>
            </w:r>
          </w:p>
        </w:tc>
        <w:tc>
          <w:tcPr>
            <w:tcW w:w="1017" w:type="dxa"/>
          </w:tcPr>
          <w:p w14:paraId="38832118"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0.24</w:t>
            </w:r>
          </w:p>
        </w:tc>
        <w:tc>
          <w:tcPr>
            <w:tcW w:w="783" w:type="dxa"/>
          </w:tcPr>
          <w:p w14:paraId="199976D4"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1.304</w:t>
            </w:r>
          </w:p>
        </w:tc>
        <w:tc>
          <w:tcPr>
            <w:tcW w:w="796" w:type="dxa"/>
          </w:tcPr>
          <w:p w14:paraId="2F706614"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0.455</w:t>
            </w:r>
          </w:p>
        </w:tc>
        <w:tc>
          <w:tcPr>
            <w:tcW w:w="791" w:type="dxa"/>
          </w:tcPr>
          <w:p w14:paraId="0608D68D"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0.21</w:t>
            </w:r>
          </w:p>
        </w:tc>
        <w:tc>
          <w:tcPr>
            <w:tcW w:w="845" w:type="dxa"/>
          </w:tcPr>
          <w:p w14:paraId="1C1B8510"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0.167</w:t>
            </w:r>
          </w:p>
        </w:tc>
        <w:tc>
          <w:tcPr>
            <w:tcW w:w="789" w:type="dxa"/>
          </w:tcPr>
          <w:p w14:paraId="66CC863C"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0.789</w:t>
            </w:r>
          </w:p>
        </w:tc>
        <w:tc>
          <w:tcPr>
            <w:tcW w:w="1017" w:type="dxa"/>
          </w:tcPr>
          <w:p w14:paraId="4F469A51"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-4.36</w:t>
            </w:r>
          </w:p>
        </w:tc>
        <w:tc>
          <w:tcPr>
            <w:tcW w:w="876" w:type="dxa"/>
          </w:tcPr>
          <w:p w14:paraId="629AEC31"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100</w:t>
            </w:r>
          </w:p>
        </w:tc>
        <w:tc>
          <w:tcPr>
            <w:tcW w:w="876" w:type="dxa"/>
          </w:tcPr>
          <w:p w14:paraId="6C63FAAD"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3500</w:t>
            </w:r>
          </w:p>
        </w:tc>
      </w:tr>
      <w:tr w:rsidR="000B33ED" w:rsidRPr="009555D2" w14:paraId="24741651" w14:textId="77777777" w:rsidTr="005C1394">
        <w:trPr>
          <w:trHeight w:val="288"/>
        </w:trPr>
        <w:tc>
          <w:tcPr>
            <w:cnfStyle w:val="001000000000" w:firstRow="0" w:lastRow="0" w:firstColumn="1" w:lastColumn="0" w:oddVBand="0" w:evenVBand="0" w:oddHBand="0" w:evenHBand="0" w:firstRowFirstColumn="0" w:firstRowLastColumn="0" w:lastRowFirstColumn="0" w:lastRowLastColumn="0"/>
            <w:tcW w:w="843" w:type="dxa"/>
          </w:tcPr>
          <w:p w14:paraId="2BF42F9E" w14:textId="77777777" w:rsidR="000B33ED" w:rsidRPr="005C1394" w:rsidRDefault="000B33ED" w:rsidP="00154FCA">
            <w:pPr>
              <w:autoSpaceDE w:val="0"/>
              <w:autoSpaceDN w:val="0"/>
              <w:adjustRightInd w:val="0"/>
              <w:jc w:val="both"/>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 xml:space="preserve">Mean </w:t>
            </w:r>
          </w:p>
        </w:tc>
        <w:tc>
          <w:tcPr>
            <w:tcW w:w="953" w:type="dxa"/>
          </w:tcPr>
          <w:p w14:paraId="51D38315"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0.067</w:t>
            </w:r>
          </w:p>
        </w:tc>
        <w:tc>
          <w:tcPr>
            <w:tcW w:w="1017" w:type="dxa"/>
          </w:tcPr>
          <w:p w14:paraId="3A58AFCB"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0.16</w:t>
            </w:r>
          </w:p>
        </w:tc>
        <w:tc>
          <w:tcPr>
            <w:tcW w:w="783" w:type="dxa"/>
          </w:tcPr>
          <w:p w14:paraId="775CDF8D"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1.143</w:t>
            </w:r>
          </w:p>
        </w:tc>
        <w:tc>
          <w:tcPr>
            <w:tcW w:w="796" w:type="dxa"/>
          </w:tcPr>
          <w:p w14:paraId="40F91823"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0.433</w:t>
            </w:r>
          </w:p>
        </w:tc>
        <w:tc>
          <w:tcPr>
            <w:tcW w:w="791" w:type="dxa"/>
          </w:tcPr>
          <w:p w14:paraId="2F1FD08E"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0.1</w:t>
            </w:r>
          </w:p>
        </w:tc>
        <w:tc>
          <w:tcPr>
            <w:tcW w:w="845" w:type="dxa"/>
          </w:tcPr>
          <w:p w14:paraId="7290A941"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0.082</w:t>
            </w:r>
          </w:p>
        </w:tc>
        <w:tc>
          <w:tcPr>
            <w:tcW w:w="789" w:type="dxa"/>
          </w:tcPr>
          <w:p w14:paraId="32BA225E"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0.448</w:t>
            </w:r>
          </w:p>
        </w:tc>
        <w:tc>
          <w:tcPr>
            <w:tcW w:w="1017" w:type="dxa"/>
          </w:tcPr>
          <w:p w14:paraId="29C53E73"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lang w:val="en-GB"/>
              </w:rPr>
            </w:pPr>
            <w:r w:rsidRPr="009555D2">
              <w:rPr>
                <w:rFonts w:asciiTheme="minorHAnsi" w:eastAsia="Yu Mincho" w:hAnsiTheme="minorHAnsi" w:cstheme="minorHAnsi"/>
                <w:sz w:val="18"/>
                <w:szCs w:val="18"/>
                <w:lang w:val="en-GB"/>
              </w:rPr>
              <w:t>-4.91</w:t>
            </w:r>
          </w:p>
        </w:tc>
        <w:tc>
          <w:tcPr>
            <w:tcW w:w="876" w:type="dxa"/>
          </w:tcPr>
          <w:p w14:paraId="0EF99480"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1312.5</w:t>
            </w:r>
          </w:p>
        </w:tc>
        <w:tc>
          <w:tcPr>
            <w:tcW w:w="876" w:type="dxa"/>
          </w:tcPr>
          <w:p w14:paraId="17C2BA5C"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sz w:val="18"/>
                <w:szCs w:val="18"/>
              </w:rPr>
            </w:pPr>
            <w:r w:rsidRPr="009555D2">
              <w:rPr>
                <w:rFonts w:asciiTheme="minorHAnsi" w:eastAsia="Yu Mincho" w:hAnsiTheme="minorHAnsi" w:cstheme="minorHAnsi"/>
                <w:sz w:val="18"/>
                <w:szCs w:val="18"/>
              </w:rPr>
              <w:t>21.25</w:t>
            </w:r>
          </w:p>
        </w:tc>
      </w:tr>
      <w:tr w:rsidR="005C1394" w:rsidRPr="009555D2" w14:paraId="17F89526" w14:textId="77777777" w:rsidTr="005C1394">
        <w:trPr>
          <w:trHeight w:val="287"/>
        </w:trPr>
        <w:tc>
          <w:tcPr>
            <w:cnfStyle w:val="001000000000" w:firstRow="0" w:lastRow="0" w:firstColumn="1" w:lastColumn="0" w:oddVBand="0" w:evenVBand="0" w:oddHBand="0" w:evenHBand="0" w:firstRowFirstColumn="0" w:firstRowLastColumn="0" w:lastRowFirstColumn="0" w:lastRowLastColumn="0"/>
            <w:tcW w:w="843" w:type="dxa"/>
          </w:tcPr>
          <w:p w14:paraId="1488F26D" w14:textId="77777777" w:rsidR="000B33ED" w:rsidRPr="005C1394" w:rsidRDefault="000B33ED" w:rsidP="00154FCA">
            <w:pPr>
              <w:autoSpaceDE w:val="0"/>
              <w:autoSpaceDN w:val="0"/>
              <w:adjustRightInd w:val="0"/>
              <w:jc w:val="both"/>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RARr</w:t>
            </w:r>
          </w:p>
        </w:tc>
        <w:tc>
          <w:tcPr>
            <w:tcW w:w="953" w:type="dxa"/>
            <w:shd w:val="clear" w:color="auto" w:fill="BFBFBF" w:themeFill="background1" w:themeFillShade="BF"/>
          </w:tcPr>
          <w:p w14:paraId="64C900A2"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0.66</w:t>
            </w:r>
          </w:p>
        </w:tc>
        <w:tc>
          <w:tcPr>
            <w:tcW w:w="1017" w:type="dxa"/>
          </w:tcPr>
          <w:p w14:paraId="0E2A3A2B"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0.82</w:t>
            </w:r>
          </w:p>
        </w:tc>
        <w:tc>
          <w:tcPr>
            <w:tcW w:w="783" w:type="dxa"/>
          </w:tcPr>
          <w:p w14:paraId="05064C01"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0.92</w:t>
            </w:r>
          </w:p>
        </w:tc>
        <w:tc>
          <w:tcPr>
            <w:tcW w:w="796" w:type="dxa"/>
          </w:tcPr>
          <w:p w14:paraId="5D9E87AC"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0.90</w:t>
            </w:r>
          </w:p>
        </w:tc>
        <w:tc>
          <w:tcPr>
            <w:tcW w:w="791" w:type="dxa"/>
            <w:shd w:val="clear" w:color="auto" w:fill="92D050"/>
          </w:tcPr>
          <w:p w14:paraId="25C7AC00"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0.94</w:t>
            </w:r>
          </w:p>
        </w:tc>
        <w:tc>
          <w:tcPr>
            <w:tcW w:w="845" w:type="dxa"/>
            <w:shd w:val="clear" w:color="auto" w:fill="92D050"/>
          </w:tcPr>
          <w:p w14:paraId="781E3FA8"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0.94</w:t>
            </w:r>
          </w:p>
        </w:tc>
        <w:tc>
          <w:tcPr>
            <w:tcW w:w="789" w:type="dxa"/>
          </w:tcPr>
          <w:p w14:paraId="3B7D110F"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0.87</w:t>
            </w:r>
          </w:p>
        </w:tc>
        <w:tc>
          <w:tcPr>
            <w:tcW w:w="1017" w:type="dxa"/>
            <w:shd w:val="clear" w:color="auto" w:fill="0070C0"/>
          </w:tcPr>
          <w:p w14:paraId="48043E32"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-0.93</w:t>
            </w:r>
          </w:p>
        </w:tc>
        <w:tc>
          <w:tcPr>
            <w:tcW w:w="876" w:type="dxa"/>
          </w:tcPr>
          <w:p w14:paraId="65D2E485"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p>
        </w:tc>
        <w:tc>
          <w:tcPr>
            <w:tcW w:w="876" w:type="dxa"/>
          </w:tcPr>
          <w:p w14:paraId="6695B2C8"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p>
        </w:tc>
      </w:tr>
      <w:tr w:rsidR="005C1394" w:rsidRPr="009555D2" w14:paraId="132B61C7" w14:textId="77777777" w:rsidTr="005C1394">
        <w:trPr>
          <w:trHeight w:val="287"/>
        </w:trPr>
        <w:tc>
          <w:tcPr>
            <w:cnfStyle w:val="001000000000" w:firstRow="0" w:lastRow="0" w:firstColumn="1" w:lastColumn="0" w:oddVBand="0" w:evenVBand="0" w:oddHBand="0" w:evenHBand="0" w:firstRowFirstColumn="0" w:firstRowLastColumn="0" w:lastRowFirstColumn="0" w:lastRowLastColumn="0"/>
            <w:tcW w:w="843" w:type="dxa"/>
          </w:tcPr>
          <w:p w14:paraId="367E9B43" w14:textId="77777777" w:rsidR="000B33ED" w:rsidRPr="005C1394" w:rsidRDefault="000B33ED" w:rsidP="00154FCA">
            <w:pPr>
              <w:autoSpaceDE w:val="0"/>
              <w:autoSpaceDN w:val="0"/>
              <w:adjustRightInd w:val="0"/>
              <w:jc w:val="both"/>
              <w:rPr>
                <w:rFonts w:asciiTheme="minorHAnsi" w:eastAsia="Yu Mincho" w:hAnsiTheme="minorHAnsi" w:cstheme="minorHAnsi"/>
                <w:b w:val="0"/>
                <w:bCs w:val="0"/>
                <w:sz w:val="18"/>
                <w:szCs w:val="18"/>
                <w:lang w:val="en-GB"/>
              </w:rPr>
            </w:pPr>
            <w:r w:rsidRPr="005C1394">
              <w:rPr>
                <w:rFonts w:asciiTheme="minorHAnsi" w:eastAsia="Yu Mincho" w:hAnsiTheme="minorHAnsi" w:cstheme="minorHAnsi"/>
                <w:b w:val="0"/>
                <w:bCs w:val="0"/>
                <w:sz w:val="18"/>
                <w:szCs w:val="18"/>
                <w:lang w:val="en-GB"/>
              </w:rPr>
              <w:t>RBPr</w:t>
            </w:r>
          </w:p>
        </w:tc>
        <w:tc>
          <w:tcPr>
            <w:tcW w:w="953" w:type="dxa"/>
            <w:shd w:val="clear" w:color="auto" w:fill="92D050"/>
          </w:tcPr>
          <w:p w14:paraId="3217259E"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0.95</w:t>
            </w:r>
          </w:p>
        </w:tc>
        <w:tc>
          <w:tcPr>
            <w:tcW w:w="1017" w:type="dxa"/>
          </w:tcPr>
          <w:p w14:paraId="3D0AF4CB"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0.94</w:t>
            </w:r>
          </w:p>
        </w:tc>
        <w:tc>
          <w:tcPr>
            <w:tcW w:w="783" w:type="dxa"/>
          </w:tcPr>
          <w:p w14:paraId="685DD3C7"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0.93</w:t>
            </w:r>
          </w:p>
        </w:tc>
        <w:tc>
          <w:tcPr>
            <w:tcW w:w="796" w:type="dxa"/>
          </w:tcPr>
          <w:p w14:paraId="729276CC"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0.92</w:t>
            </w:r>
          </w:p>
        </w:tc>
        <w:tc>
          <w:tcPr>
            <w:tcW w:w="791" w:type="dxa"/>
            <w:shd w:val="clear" w:color="auto" w:fill="92D050"/>
          </w:tcPr>
          <w:p w14:paraId="77E45376"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0.95</w:t>
            </w:r>
          </w:p>
        </w:tc>
        <w:tc>
          <w:tcPr>
            <w:tcW w:w="845" w:type="dxa"/>
            <w:shd w:val="clear" w:color="auto" w:fill="92D050"/>
          </w:tcPr>
          <w:p w14:paraId="0D62D0AE"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0.95</w:t>
            </w:r>
          </w:p>
        </w:tc>
        <w:tc>
          <w:tcPr>
            <w:tcW w:w="789" w:type="dxa"/>
          </w:tcPr>
          <w:p w14:paraId="22EC4B99"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0.88</w:t>
            </w:r>
          </w:p>
        </w:tc>
        <w:tc>
          <w:tcPr>
            <w:tcW w:w="1017" w:type="dxa"/>
            <w:shd w:val="clear" w:color="auto" w:fill="0070C0"/>
          </w:tcPr>
          <w:p w14:paraId="5E1D02C0"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r w:rsidRPr="009555D2">
              <w:rPr>
                <w:rFonts w:asciiTheme="minorHAnsi" w:eastAsia="Yu Mincho" w:hAnsiTheme="minorHAnsi" w:cstheme="minorHAnsi"/>
                <w:sz w:val="18"/>
                <w:szCs w:val="18"/>
                <w:lang w:val="en-GB"/>
              </w:rPr>
              <w:t>-0.95</w:t>
            </w:r>
          </w:p>
        </w:tc>
        <w:tc>
          <w:tcPr>
            <w:tcW w:w="876" w:type="dxa"/>
          </w:tcPr>
          <w:p w14:paraId="19FF553F"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p>
        </w:tc>
        <w:tc>
          <w:tcPr>
            <w:tcW w:w="876" w:type="dxa"/>
          </w:tcPr>
          <w:p w14:paraId="73760F07" w14:textId="77777777" w:rsidR="000B33ED" w:rsidRPr="009555D2" w:rsidRDefault="000B33ED" w:rsidP="00154F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Yu Mincho" w:hAnsiTheme="minorHAnsi" w:cstheme="minorHAnsi"/>
                <w:b/>
                <w:bCs/>
                <w:sz w:val="18"/>
                <w:szCs w:val="18"/>
                <w:lang w:val="en-GB"/>
              </w:rPr>
            </w:pPr>
          </w:p>
        </w:tc>
      </w:tr>
    </w:tbl>
    <w:p w14:paraId="474F585E" w14:textId="77777777" w:rsidR="0024372F" w:rsidRPr="0024372F" w:rsidRDefault="0024372F" w:rsidP="0024372F">
      <w:pPr>
        <w:spacing w:after="0" w:line="240" w:lineRule="auto"/>
        <w:jc w:val="both"/>
        <w:rPr>
          <w:rFonts w:cs="Times New Roman"/>
          <w:sz w:val="24"/>
          <w:szCs w:val="24"/>
          <w:lang w:val="en-GB"/>
        </w:rPr>
      </w:pPr>
      <w:r w:rsidRPr="0024372F">
        <w:rPr>
          <w:rFonts w:cs="Times New Roman"/>
          <w:noProof/>
          <w:sz w:val="24"/>
          <w:szCs w:val="24"/>
          <w:lang w:val="en-GB"/>
        </w:rPr>
        <w:drawing>
          <wp:inline distT="0" distB="0" distL="0" distR="0" wp14:anchorId="5D5B08A4" wp14:editId="08675DAA">
            <wp:extent cx="2174511" cy="781050"/>
            <wp:effectExtent l="0" t="0" r="0" b="0"/>
            <wp:docPr id="50208" name="Picture 502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8" name="Picture 50208" descr="Table&#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r="24148"/>
                    <a:stretch/>
                  </pic:blipFill>
                  <pic:spPr bwMode="auto">
                    <a:xfrm>
                      <a:off x="0" y="0"/>
                      <a:ext cx="2241660" cy="805169"/>
                    </a:xfrm>
                    <a:prstGeom prst="rect">
                      <a:avLst/>
                    </a:prstGeom>
                    <a:noFill/>
                    <a:ln>
                      <a:noFill/>
                    </a:ln>
                    <a:extLst>
                      <a:ext uri="{53640926-AAD7-44D8-BBD7-CCE9431645EC}">
                        <a14:shadowObscured xmlns:a14="http://schemas.microsoft.com/office/drawing/2010/main"/>
                      </a:ext>
                    </a:extLst>
                  </pic:spPr>
                </pic:pic>
              </a:graphicData>
            </a:graphic>
          </wp:inline>
        </w:drawing>
      </w:r>
      <w:r w:rsidRPr="000A5BEF">
        <w:rPr>
          <w:rFonts w:cs="Times New Roman"/>
          <w:b/>
          <w:lang w:val="en-GB"/>
        </w:rPr>
        <w:t>Abbreviations:</w:t>
      </w:r>
      <w:r w:rsidRPr="000A5BEF">
        <w:rPr>
          <w:rFonts w:cs="Times New Roman"/>
          <w:lang w:val="en-GB"/>
        </w:rPr>
        <w:t xml:space="preserve"> </w:t>
      </w:r>
      <w:r w:rsidRPr="000A5BEF">
        <w:rPr>
          <w:rFonts w:cs="Times New Roman"/>
          <w:b/>
          <w:bCs/>
          <w:lang w:val="en-GB"/>
        </w:rPr>
        <w:t xml:space="preserve">NDVI </w:t>
      </w:r>
      <w:r w:rsidRPr="000A5BEF">
        <w:rPr>
          <w:rFonts w:cs="Times New Roman"/>
          <w:lang w:val="en-GB"/>
        </w:rPr>
        <w:t xml:space="preserve">= Normalised Difference Vegetation Indices, </w:t>
      </w:r>
      <w:r w:rsidRPr="000A5BEF">
        <w:rPr>
          <w:rFonts w:cs="Times New Roman"/>
          <w:b/>
          <w:iCs/>
          <w:lang w:val="en-GB"/>
        </w:rPr>
        <w:t xml:space="preserve">GNDVI </w:t>
      </w:r>
      <w:r w:rsidRPr="000A5BEF">
        <w:rPr>
          <w:rFonts w:cs="Times New Roman"/>
          <w:lang w:val="en-GB"/>
        </w:rPr>
        <w:t xml:space="preserve">= Green Normalised Difference Vegetation Indices, </w:t>
      </w:r>
      <w:r w:rsidRPr="000A5BEF">
        <w:rPr>
          <w:rFonts w:cs="Times New Roman"/>
          <w:b/>
          <w:bCs/>
          <w:lang w:val="en-GB"/>
        </w:rPr>
        <w:t xml:space="preserve">SR </w:t>
      </w:r>
      <w:r w:rsidRPr="000A5BEF">
        <w:rPr>
          <w:rFonts w:cs="Times New Roman"/>
          <w:lang w:val="en-GB"/>
        </w:rPr>
        <w:t xml:space="preserve">= Simple Ratio, </w:t>
      </w:r>
      <w:r w:rsidRPr="000A5BEF">
        <w:rPr>
          <w:rFonts w:cs="Times New Roman"/>
          <w:b/>
          <w:bCs/>
          <w:lang w:val="en-GB"/>
        </w:rPr>
        <w:t xml:space="preserve">rSR </w:t>
      </w:r>
      <w:r w:rsidRPr="000A5BEF">
        <w:rPr>
          <w:rFonts w:cs="Times New Roman"/>
          <w:lang w:val="en-GB"/>
        </w:rPr>
        <w:t xml:space="preserve">= Reverse Simple Ratio, </w:t>
      </w:r>
      <w:r w:rsidRPr="000A5BEF">
        <w:rPr>
          <w:rFonts w:cs="Times New Roman"/>
          <w:b/>
          <w:bCs/>
          <w:lang w:val="en-GB"/>
        </w:rPr>
        <w:t xml:space="preserve">MSR </w:t>
      </w:r>
      <w:r w:rsidRPr="000A5BEF">
        <w:rPr>
          <w:rFonts w:cs="Times New Roman"/>
          <w:lang w:val="en-GB"/>
        </w:rPr>
        <w:t xml:space="preserve">= Modified Simple Ratio, </w:t>
      </w:r>
      <w:r w:rsidRPr="000A5BEF">
        <w:rPr>
          <w:rFonts w:cs="Times New Roman"/>
          <w:b/>
          <w:bCs/>
          <w:lang w:val="en-GB"/>
        </w:rPr>
        <w:t xml:space="preserve">DVI </w:t>
      </w:r>
      <w:r w:rsidRPr="000A5BEF">
        <w:rPr>
          <w:rFonts w:cs="Times New Roman"/>
          <w:lang w:val="en-GB"/>
        </w:rPr>
        <w:t xml:space="preserve">= Difference Vegetation Index, </w:t>
      </w:r>
      <w:r w:rsidRPr="000A5BEF">
        <w:rPr>
          <w:rFonts w:cs="Times New Roman"/>
          <w:b/>
          <w:bCs/>
          <w:lang w:val="en-GB"/>
        </w:rPr>
        <w:t xml:space="preserve">RDVI </w:t>
      </w:r>
      <w:r w:rsidRPr="000A5BEF">
        <w:rPr>
          <w:rFonts w:cs="Times New Roman"/>
          <w:lang w:val="en-GB"/>
        </w:rPr>
        <w:t>=</w:t>
      </w:r>
      <w:r w:rsidRPr="000A5BEF">
        <w:rPr>
          <w:rFonts w:cs="Times New Roman"/>
          <w:b/>
          <w:bCs/>
          <w:iCs/>
          <w:lang w:val="en-GB"/>
        </w:rPr>
        <w:t xml:space="preserve"> </w:t>
      </w:r>
      <w:r w:rsidRPr="000A5BEF">
        <w:rPr>
          <w:rFonts w:cs="Times New Roman"/>
          <w:iCs/>
          <w:lang w:val="en-GB"/>
        </w:rPr>
        <w:t>Renormalized Difference Vegetation Index</w:t>
      </w:r>
      <w:r w:rsidRPr="000A5BEF">
        <w:rPr>
          <w:rFonts w:cs="Times New Roman"/>
          <w:lang w:val="en-GB"/>
        </w:rPr>
        <w:t xml:space="preserve">, </w:t>
      </w:r>
      <w:r w:rsidRPr="000A5BEF">
        <w:rPr>
          <w:rFonts w:cs="Times New Roman"/>
          <w:b/>
          <w:iCs/>
          <w:lang w:val="en-GB"/>
        </w:rPr>
        <w:t>EVI =</w:t>
      </w:r>
      <w:r w:rsidRPr="000A5BEF">
        <w:rPr>
          <w:rFonts w:cs="Times New Roman"/>
          <w:b/>
          <w:bCs/>
          <w:iCs/>
          <w:lang w:val="en-GB"/>
        </w:rPr>
        <w:t xml:space="preserve"> </w:t>
      </w:r>
      <w:r w:rsidRPr="000A5BEF">
        <w:rPr>
          <w:rFonts w:cs="Times New Roman"/>
          <w:iCs/>
          <w:lang w:val="en-GB"/>
        </w:rPr>
        <w:t>Enhanced Vegetation Index</w:t>
      </w:r>
      <w:r w:rsidRPr="000A5BEF">
        <w:rPr>
          <w:rFonts w:cs="Times New Roman"/>
          <w:b/>
          <w:iCs/>
          <w:lang w:val="en-GB"/>
        </w:rPr>
        <w:t xml:space="preserve">, MSAVI = </w:t>
      </w:r>
      <w:r w:rsidRPr="000A5BEF">
        <w:rPr>
          <w:rFonts w:cs="Times New Roman"/>
          <w:iCs/>
          <w:lang w:val="en-GB"/>
        </w:rPr>
        <w:t>Modified Soil Adjusted Vegetation Index</w:t>
      </w:r>
      <w:r w:rsidRPr="000A5BEF">
        <w:rPr>
          <w:rFonts w:cs="Times New Roman"/>
          <w:lang w:val="en-GB"/>
        </w:rPr>
        <w:t xml:space="preserve">, </w:t>
      </w:r>
      <w:r w:rsidRPr="000A5BEF">
        <w:rPr>
          <w:rFonts w:cs="Times New Roman"/>
          <w:b/>
          <w:bCs/>
          <w:lang w:val="en-GB"/>
        </w:rPr>
        <w:t xml:space="preserve">RAR </w:t>
      </w:r>
      <w:r w:rsidRPr="000A5BEF">
        <w:rPr>
          <w:rFonts w:cs="Times New Roman"/>
          <w:lang w:val="en-GB"/>
        </w:rPr>
        <w:t xml:space="preserve">= Existing result of Resistivity; Ancient River, </w:t>
      </w:r>
      <w:r w:rsidRPr="000A5BEF">
        <w:rPr>
          <w:rFonts w:cs="Times New Roman"/>
          <w:b/>
          <w:bCs/>
          <w:lang w:val="en-GB"/>
        </w:rPr>
        <w:t xml:space="preserve">RBP </w:t>
      </w:r>
      <w:r w:rsidRPr="000A5BEF">
        <w:rPr>
          <w:rFonts w:cs="Times New Roman"/>
          <w:lang w:val="en-GB"/>
        </w:rPr>
        <w:t>= Existing result of Resistivity; Buried Properties.</w:t>
      </w:r>
    </w:p>
    <w:p w14:paraId="49FDE4C4" w14:textId="77777777" w:rsidR="0024372F" w:rsidRPr="0024372F" w:rsidRDefault="0024372F" w:rsidP="0024372F">
      <w:pPr>
        <w:spacing w:after="0" w:line="240" w:lineRule="auto"/>
        <w:jc w:val="both"/>
        <w:rPr>
          <w:rFonts w:cs="Times New Roman"/>
          <w:sz w:val="24"/>
          <w:szCs w:val="24"/>
          <w:lang w:val="en-US"/>
        </w:rPr>
      </w:pPr>
    </w:p>
    <w:p w14:paraId="2C3E0C25" w14:textId="77777777" w:rsidR="0024372F" w:rsidRPr="0024372F" w:rsidRDefault="0024372F" w:rsidP="0024372F">
      <w:pPr>
        <w:spacing w:after="0" w:line="240" w:lineRule="auto"/>
        <w:jc w:val="both"/>
        <w:rPr>
          <w:rFonts w:cs="Times New Roman"/>
          <w:i/>
          <w:iCs/>
          <w:sz w:val="24"/>
          <w:szCs w:val="24"/>
          <w:lang w:val="en-GB"/>
        </w:rPr>
      </w:pPr>
      <w:r w:rsidRPr="0024372F">
        <w:rPr>
          <w:rFonts w:cs="Times New Roman"/>
          <w:i/>
          <w:iCs/>
          <w:sz w:val="24"/>
          <w:szCs w:val="24"/>
          <w:lang w:val="en-GB"/>
        </w:rPr>
        <w:t xml:space="preserve">4.2 Novelty of the CEE method </w:t>
      </w:r>
    </w:p>
    <w:p w14:paraId="6364B238" w14:textId="77777777" w:rsidR="0024372F" w:rsidRPr="0024372F" w:rsidRDefault="0024372F" w:rsidP="0024372F">
      <w:pPr>
        <w:spacing w:after="0" w:line="240" w:lineRule="auto"/>
        <w:jc w:val="both"/>
        <w:rPr>
          <w:rFonts w:cs="Times New Roman"/>
          <w:i/>
          <w:iCs/>
          <w:sz w:val="24"/>
          <w:szCs w:val="24"/>
          <w:lang w:val="en-GB"/>
        </w:rPr>
      </w:pPr>
    </w:p>
    <w:p w14:paraId="2915F2D3" w14:textId="149A3413" w:rsidR="0024372F" w:rsidRDefault="0024372F" w:rsidP="002027A9">
      <w:pPr>
        <w:pStyle w:val="A"/>
      </w:pPr>
      <w:r w:rsidRPr="0024372F">
        <w:t xml:space="preserve">Table 6 shows the initial spectral median correlation value (r) from the combination of (NDVI =0.111), (DVI=0.165), (RDVI=0.135), and (MSAVI=-3.81). Consequently, alterations were made to the four significant VIs algorithms using the CEE approach by continuously increasing and reducing percentages from the initial NIR=0.825 and Red=0.66 wavelength values. Furthermore, these initial wavelength values are referred to as "Control Constant Values" (as shown in the blue square box). The wavelengths that have a probability of achieving a "very strong" value of </w:t>
      </w:r>
      <w:r w:rsidRPr="0024372F">
        <w:rPr>
          <w:i/>
          <w:iCs/>
        </w:rPr>
        <w:t>R</w:t>
      </w:r>
      <w:r w:rsidRPr="0024372F">
        <w:t xml:space="preserve"> more significant than the "Constant Control Value, </w:t>
      </w:r>
      <w:r w:rsidRPr="0024372F">
        <w:rPr>
          <w:i/>
          <w:iCs/>
        </w:rPr>
        <w:t>R</w:t>
      </w:r>
      <w:r w:rsidRPr="0024372F">
        <w:t xml:space="preserve"> = 0.595," is determined by adding and subtracting constant percentages of 2%, 5%, 10%, and 15%, respectively. Since Red's peak spectral range is only 0.700µm, the maximum percentage increase is capped at 15%. However, due to the fact that the NIR minimum range is more than 0.760µm before approaching the Red-Edge wavelength zone, the maximum percentage reduction is set at 10%. Four percentage groups were analyzed for each method to discover which spectral wavelengths and percentages are optimal for recognizing archaeological characteristics and calculated as "Percentage Image Enhancement Values" </w:t>
      </w:r>
      <w:r w:rsidRPr="0024372F">
        <w:rPr>
          <w:lang w:val="en-MY"/>
        </w:rPr>
        <w:t>(%IE).</w:t>
      </w:r>
      <w:r w:rsidRPr="0024372F">
        <w:t xml:space="preserve"> A sequence of percentages ranging from 20% through 50%, 80%, and 95% was used to compute the percentage.</w:t>
      </w:r>
    </w:p>
    <w:p w14:paraId="7ACC819C" w14:textId="682A8133" w:rsidR="000B33ED" w:rsidRDefault="000B33ED" w:rsidP="002027A9">
      <w:pPr>
        <w:pStyle w:val="A"/>
      </w:pPr>
    </w:p>
    <w:p w14:paraId="41AB736B" w14:textId="6977AD4E" w:rsidR="000B33ED" w:rsidRDefault="000B33ED" w:rsidP="002027A9">
      <w:pPr>
        <w:pStyle w:val="A"/>
      </w:pPr>
    </w:p>
    <w:p w14:paraId="2F407695" w14:textId="57120586" w:rsidR="000B33ED" w:rsidRDefault="000B33ED" w:rsidP="002027A9">
      <w:pPr>
        <w:pStyle w:val="A"/>
      </w:pPr>
    </w:p>
    <w:p w14:paraId="696AC5E3" w14:textId="403677FF" w:rsidR="000B33ED" w:rsidRDefault="000B33ED" w:rsidP="002027A9">
      <w:pPr>
        <w:pStyle w:val="A"/>
      </w:pPr>
    </w:p>
    <w:p w14:paraId="04A64603" w14:textId="79D8826E" w:rsidR="000B33ED" w:rsidRDefault="000B33ED" w:rsidP="002027A9">
      <w:pPr>
        <w:pStyle w:val="A"/>
      </w:pPr>
    </w:p>
    <w:p w14:paraId="0210AFA6" w14:textId="552F262E" w:rsidR="000B33ED" w:rsidRDefault="000B33ED" w:rsidP="002027A9">
      <w:pPr>
        <w:pStyle w:val="A"/>
      </w:pPr>
    </w:p>
    <w:p w14:paraId="0CD8995E" w14:textId="6C806FC8" w:rsidR="000B33ED" w:rsidRDefault="000B33ED" w:rsidP="002027A9">
      <w:pPr>
        <w:pStyle w:val="A"/>
      </w:pPr>
    </w:p>
    <w:p w14:paraId="164D342F" w14:textId="2AD7B18A" w:rsidR="000B33ED" w:rsidRDefault="000B33ED" w:rsidP="002027A9">
      <w:pPr>
        <w:pStyle w:val="A"/>
      </w:pPr>
    </w:p>
    <w:p w14:paraId="2FC2B308" w14:textId="05D74A52" w:rsidR="000B33ED" w:rsidRDefault="000B33ED" w:rsidP="002027A9">
      <w:pPr>
        <w:pStyle w:val="A"/>
      </w:pPr>
    </w:p>
    <w:p w14:paraId="2F4ADCCB" w14:textId="77777777" w:rsidR="005C1394" w:rsidRDefault="005C1394" w:rsidP="002027A9">
      <w:pPr>
        <w:pStyle w:val="A"/>
      </w:pPr>
    </w:p>
    <w:p w14:paraId="339710D3" w14:textId="77777777" w:rsidR="000B33ED" w:rsidRPr="000B33ED" w:rsidRDefault="000B33ED" w:rsidP="005C1394">
      <w:pPr>
        <w:spacing w:after="0" w:line="240" w:lineRule="auto"/>
        <w:ind w:left="720" w:right="656"/>
        <w:jc w:val="both"/>
        <w:rPr>
          <w:rFonts w:cs="Times New Roman"/>
          <w:b/>
          <w:bCs/>
          <w:lang w:val="en-GB"/>
        </w:rPr>
      </w:pPr>
      <w:r w:rsidRPr="000B33ED">
        <w:rPr>
          <w:rFonts w:cs="Times New Roman"/>
          <w:b/>
          <w:bCs/>
          <w:lang w:val="en-GB"/>
        </w:rPr>
        <w:lastRenderedPageBreak/>
        <w:t>Table 6</w:t>
      </w:r>
    </w:p>
    <w:p w14:paraId="456D4173" w14:textId="6A122D28" w:rsidR="000B33ED" w:rsidRPr="000B33ED" w:rsidRDefault="000B33ED" w:rsidP="005C1394">
      <w:pPr>
        <w:spacing w:after="0" w:line="240" w:lineRule="auto"/>
        <w:ind w:left="720" w:right="656"/>
        <w:jc w:val="both"/>
        <w:rPr>
          <w:rFonts w:cs="Times New Roman"/>
          <w:b/>
          <w:bCs/>
          <w:lang w:val="en-GB"/>
        </w:rPr>
      </w:pPr>
      <w:r w:rsidRPr="000B33ED">
        <w:rPr>
          <w:rFonts w:cs="Times New Roman"/>
          <w:lang w:val="en-GB"/>
        </w:rPr>
        <w:t>Results using the method of "Constant Experiment Evaluation" (CEE) through four significant Vegetation Indexes and "Control Constant Value" of NIR and Red to validate the specific wavelengths in determining archaeological proxies</w:t>
      </w:r>
    </w:p>
    <w:tbl>
      <w:tblPr>
        <w:tblStyle w:val="PlainTable5"/>
        <w:tblW w:w="0" w:type="auto"/>
        <w:jc w:val="center"/>
        <w:tblBorders>
          <w:top w:val="single" w:sz="4" w:space="0" w:color="auto"/>
          <w:bottom w:val="single" w:sz="4" w:space="0" w:color="auto"/>
        </w:tblBorders>
        <w:tblLook w:val="04A0" w:firstRow="1" w:lastRow="0" w:firstColumn="1" w:lastColumn="0" w:noHBand="0" w:noVBand="1"/>
      </w:tblPr>
      <w:tblGrid>
        <w:gridCol w:w="1012"/>
        <w:gridCol w:w="721"/>
        <w:gridCol w:w="1453"/>
        <w:gridCol w:w="1168"/>
        <w:gridCol w:w="990"/>
        <w:gridCol w:w="1080"/>
        <w:gridCol w:w="1170"/>
        <w:gridCol w:w="830"/>
      </w:tblGrid>
      <w:tr w:rsidR="000B33ED" w:rsidRPr="000B33ED" w14:paraId="4A3AF1F0" w14:textId="77777777" w:rsidTr="005C1394">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100" w:firstRow="0" w:lastRow="0" w:firstColumn="1" w:lastColumn="0" w:oddVBand="0" w:evenVBand="0" w:oddHBand="0" w:evenHBand="0" w:firstRowFirstColumn="1" w:firstRowLastColumn="0" w:lastRowFirstColumn="0" w:lastRowLastColumn="0"/>
            <w:tcW w:w="1012" w:type="dxa"/>
            <w:tcBorders>
              <w:top w:val="single" w:sz="4" w:space="0" w:color="auto"/>
              <w:bottom w:val="single" w:sz="4" w:space="0" w:color="auto"/>
              <w:right w:val="none" w:sz="0" w:space="0" w:color="auto"/>
            </w:tcBorders>
            <w:shd w:val="clear" w:color="auto" w:fill="auto"/>
          </w:tcPr>
          <w:p w14:paraId="0B74A79B" w14:textId="77777777" w:rsidR="000B33ED" w:rsidRPr="000B33ED" w:rsidRDefault="000B33ED" w:rsidP="00154FCA">
            <w:pPr>
              <w:jc w:val="both"/>
              <w:rPr>
                <w:rFonts w:asciiTheme="minorHAnsi" w:hAnsiTheme="minorHAnsi" w:cstheme="minorHAnsi"/>
                <w:sz w:val="20"/>
                <w:szCs w:val="20"/>
                <w:lang w:val="en-MY"/>
              </w:rPr>
            </w:pPr>
            <w:bookmarkStart w:id="6" w:name="_Hlk113969146"/>
          </w:p>
        </w:tc>
        <w:tc>
          <w:tcPr>
            <w:tcW w:w="721" w:type="dxa"/>
            <w:tcBorders>
              <w:top w:val="single" w:sz="4" w:space="0" w:color="auto"/>
              <w:bottom w:val="single" w:sz="4" w:space="0" w:color="auto"/>
            </w:tcBorders>
            <w:shd w:val="clear" w:color="auto" w:fill="auto"/>
          </w:tcPr>
          <w:p w14:paraId="154E9C16" w14:textId="77777777" w:rsidR="000B33ED" w:rsidRPr="000B33ED" w:rsidRDefault="000B33ED" w:rsidP="00154FC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MY"/>
              </w:rPr>
            </w:pPr>
            <w:r w:rsidRPr="000B33ED">
              <w:rPr>
                <w:rFonts w:asciiTheme="minorHAnsi" w:hAnsiTheme="minorHAnsi" w:cstheme="minorHAnsi"/>
                <w:sz w:val="20"/>
                <w:szCs w:val="20"/>
                <w:lang w:val="en-MY"/>
              </w:rPr>
              <w:t>NIR</w:t>
            </w:r>
          </w:p>
          <w:p w14:paraId="03C6A301" w14:textId="77777777" w:rsidR="000B33ED" w:rsidRPr="000B33ED" w:rsidRDefault="000B33ED" w:rsidP="00154FC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MY"/>
              </w:rPr>
            </w:pPr>
            <w:r w:rsidRPr="000B33ED">
              <w:rPr>
                <w:rFonts w:asciiTheme="minorHAnsi" w:hAnsiTheme="minorHAnsi" w:cstheme="minorHAnsi"/>
                <w:sz w:val="20"/>
                <w:szCs w:val="20"/>
                <w:lang w:val="en-MY"/>
              </w:rPr>
              <w:t>RED</w:t>
            </w:r>
          </w:p>
        </w:tc>
        <w:tc>
          <w:tcPr>
            <w:tcW w:w="1453" w:type="dxa"/>
            <w:tcBorders>
              <w:top w:val="single" w:sz="4" w:space="0" w:color="auto"/>
              <w:bottom w:val="single" w:sz="4" w:space="0" w:color="auto"/>
            </w:tcBorders>
            <w:shd w:val="clear" w:color="auto" w:fill="auto"/>
          </w:tcPr>
          <w:p w14:paraId="76681AE0" w14:textId="77777777" w:rsidR="000B33ED" w:rsidRPr="000B33ED" w:rsidRDefault="000B33ED" w:rsidP="00154FC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MY"/>
              </w:rPr>
            </w:pPr>
            <w:r w:rsidRPr="000B33ED">
              <w:rPr>
                <w:rFonts w:asciiTheme="minorHAnsi" w:hAnsiTheme="minorHAnsi" w:cstheme="minorHAnsi"/>
                <w:sz w:val="20"/>
                <w:szCs w:val="20"/>
                <w:lang w:val="en-MY"/>
              </w:rPr>
              <w:t>% Image Enhancement (%IE)</w:t>
            </w:r>
          </w:p>
        </w:tc>
        <w:tc>
          <w:tcPr>
            <w:tcW w:w="1168" w:type="dxa"/>
            <w:tcBorders>
              <w:top w:val="single" w:sz="4" w:space="0" w:color="auto"/>
              <w:bottom w:val="single" w:sz="4" w:space="0" w:color="auto"/>
            </w:tcBorders>
            <w:shd w:val="clear" w:color="auto" w:fill="auto"/>
          </w:tcPr>
          <w:p w14:paraId="12DC0873" w14:textId="565B551C" w:rsidR="000B33ED" w:rsidRPr="000B33ED" w:rsidRDefault="000B33ED" w:rsidP="00154FC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MY"/>
              </w:rPr>
            </w:pPr>
            <w:r w:rsidRPr="0024372F">
              <w:rPr>
                <w:rFonts w:cs="Times New Roman"/>
                <w:noProof/>
                <w:sz w:val="24"/>
                <w:szCs w:val="24"/>
                <w:lang w:val="en-MY"/>
              </w:rPr>
              <mc:AlternateContent>
                <mc:Choice Requires="wpg">
                  <w:drawing>
                    <wp:anchor distT="0" distB="0" distL="114300" distR="114300" simplePos="0" relativeHeight="251668480" behindDoc="0" locked="0" layoutInCell="1" allowOverlap="1" wp14:anchorId="733C1624" wp14:editId="2A76D72F">
                      <wp:simplePos x="0" y="0"/>
                      <wp:positionH relativeFrom="column">
                        <wp:posOffset>-2100742</wp:posOffset>
                      </wp:positionH>
                      <wp:positionV relativeFrom="paragraph">
                        <wp:posOffset>439450</wp:posOffset>
                      </wp:positionV>
                      <wp:extent cx="5347970" cy="327660"/>
                      <wp:effectExtent l="0" t="0" r="24130" b="15240"/>
                      <wp:wrapNone/>
                      <wp:docPr id="20" name="Group 20"/>
                      <wp:cNvGraphicFramePr/>
                      <a:graphic xmlns:a="http://schemas.openxmlformats.org/drawingml/2006/main">
                        <a:graphicData uri="http://schemas.microsoft.com/office/word/2010/wordprocessingGroup">
                          <wpg:wgp>
                            <wpg:cNvGrpSpPr/>
                            <wpg:grpSpPr>
                              <a:xfrm>
                                <a:off x="0" y="0"/>
                                <a:ext cx="5347970" cy="327660"/>
                                <a:chOff x="0" y="0"/>
                                <a:chExt cx="5347970" cy="327660"/>
                              </a:xfrm>
                            </wpg:grpSpPr>
                            <wps:wsp>
                              <wps:cNvPr id="17" name="Rectangle 17"/>
                              <wps:cNvSpPr/>
                              <wps:spPr>
                                <a:xfrm>
                                  <a:off x="1143000" y="47625"/>
                                  <a:ext cx="4204970" cy="167640"/>
                                </a:xfrm>
                                <a:prstGeom prst="rect">
                                  <a:avLst/>
                                </a:prstGeom>
                                <a:noFill/>
                                <a:ln>
                                  <a:solidFill>
                                    <a:schemeClr val="tx2">
                                      <a:lumMod val="60000"/>
                                      <a:lumOff val="4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0"/>
                                  <a:ext cx="1149350" cy="327660"/>
                                </a:xfrm>
                                <a:prstGeom prst="rect">
                                  <a:avLst/>
                                </a:prstGeom>
                                <a:noFill/>
                                <a:ln>
                                  <a:solidFill>
                                    <a:schemeClr val="tx2">
                                      <a:lumMod val="60000"/>
                                      <a:lumOff val="40000"/>
                                    </a:schemeClr>
                                  </a:solidFill>
                                  <a:prstDash val="dash"/>
                                  <a:extLst>
                                    <a:ext uri="{C807C97D-BFC1-408E-A445-0C87EB9F89A2}">
                                      <ask:lineSketchStyleProps xmlns:ask="http://schemas.microsoft.com/office/drawing/2018/sketchyshapes" sd="2166223669">
                                        <a:custGeom>
                                          <a:avLst/>
                                          <a:gdLst>
                                            <a:gd name="connsiteX0" fmla="*/ 0 w 1149927"/>
                                            <a:gd name="connsiteY0" fmla="*/ 0 h 581891"/>
                                            <a:gd name="connsiteX1" fmla="*/ 1149927 w 1149927"/>
                                            <a:gd name="connsiteY1" fmla="*/ 0 h 581891"/>
                                            <a:gd name="connsiteX2" fmla="*/ 1149927 w 1149927"/>
                                            <a:gd name="connsiteY2" fmla="*/ 581891 h 581891"/>
                                            <a:gd name="connsiteX3" fmla="*/ 0 w 1149927"/>
                                            <a:gd name="connsiteY3" fmla="*/ 581891 h 581891"/>
                                            <a:gd name="connsiteX4" fmla="*/ 0 w 1149927"/>
                                            <a:gd name="connsiteY4" fmla="*/ 0 h 5818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9927" h="581891" extrusionOk="0">
                                              <a:moveTo>
                                                <a:pt x="0" y="0"/>
                                              </a:moveTo>
                                              <a:cubicBezTo>
                                                <a:pt x="429311" y="8318"/>
                                                <a:pt x="884571" y="74536"/>
                                                <a:pt x="1149927" y="0"/>
                                              </a:cubicBezTo>
                                              <a:cubicBezTo>
                                                <a:pt x="1153602" y="257703"/>
                                                <a:pt x="1160238" y="422729"/>
                                                <a:pt x="1149927" y="581891"/>
                                              </a:cubicBezTo>
                                              <a:cubicBezTo>
                                                <a:pt x="945647" y="654347"/>
                                                <a:pt x="344166" y="565409"/>
                                                <a:pt x="0" y="581891"/>
                                              </a:cubicBezTo>
                                              <a:cubicBezTo>
                                                <a:pt x="-23645" y="387790"/>
                                                <a:pt x="-6624" y="138916"/>
                                                <a:pt x="0" y="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66B6FF" id="Group 20" o:spid="_x0000_s1026" style="position:absolute;margin-left:-165.4pt;margin-top:34.6pt;width:421.1pt;height:25.8pt;z-index:251668480" coordsize="53479,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">
                      <v:rect id="Rectangle 17" o:spid="_x0000_s1027" style="position:absolute;left:11430;top:476;width:42049;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" filled="f" strokecolor="#548dd4 [1951]" strokeweight="2pt"/>
                      <v:rect id="Rectangle 18" o:spid="_x0000_s1028" style="position:absolute;width:11493;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" filled="f" strokecolor="#548dd4 [1951]" strokeweight="2pt">
                        <v:stroke dashstyle="dash"/>
                      </v:rect>
                    </v:group>
                  </w:pict>
                </mc:Fallback>
              </mc:AlternateContent>
            </w:r>
            <w:r w:rsidRPr="000B33ED">
              <w:rPr>
                <w:rFonts w:asciiTheme="minorHAnsi" w:hAnsiTheme="minorHAnsi" w:cstheme="minorHAnsi"/>
                <w:sz w:val="20"/>
                <w:szCs w:val="20"/>
                <w:lang w:val="en-MY"/>
              </w:rPr>
              <w:t>NDVI * (%IE)</w:t>
            </w:r>
          </w:p>
        </w:tc>
        <w:tc>
          <w:tcPr>
            <w:tcW w:w="990" w:type="dxa"/>
            <w:tcBorders>
              <w:top w:val="single" w:sz="4" w:space="0" w:color="auto"/>
              <w:bottom w:val="single" w:sz="4" w:space="0" w:color="auto"/>
            </w:tcBorders>
            <w:shd w:val="clear" w:color="auto" w:fill="auto"/>
          </w:tcPr>
          <w:p w14:paraId="1E3CEE09" w14:textId="77777777" w:rsidR="000B33ED" w:rsidRPr="000B33ED" w:rsidRDefault="000B33ED" w:rsidP="00154FC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MY"/>
              </w:rPr>
            </w:pPr>
            <w:r w:rsidRPr="000B33ED">
              <w:rPr>
                <w:rFonts w:asciiTheme="minorHAnsi" w:hAnsiTheme="minorHAnsi" w:cstheme="minorHAnsi"/>
                <w:sz w:val="20"/>
                <w:szCs w:val="20"/>
                <w:lang w:val="en-MY"/>
              </w:rPr>
              <w:t>DVI * (%IE)</w:t>
            </w:r>
          </w:p>
        </w:tc>
        <w:tc>
          <w:tcPr>
            <w:tcW w:w="1080" w:type="dxa"/>
            <w:tcBorders>
              <w:top w:val="single" w:sz="4" w:space="0" w:color="auto"/>
              <w:bottom w:val="single" w:sz="4" w:space="0" w:color="auto"/>
            </w:tcBorders>
            <w:shd w:val="clear" w:color="auto" w:fill="auto"/>
          </w:tcPr>
          <w:p w14:paraId="228482F9" w14:textId="77777777" w:rsidR="000B33ED" w:rsidRPr="000B33ED" w:rsidRDefault="000B33ED" w:rsidP="00154FC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MY"/>
              </w:rPr>
            </w:pPr>
            <w:r w:rsidRPr="000B33ED">
              <w:rPr>
                <w:rFonts w:asciiTheme="minorHAnsi" w:hAnsiTheme="minorHAnsi" w:cstheme="minorHAnsi"/>
                <w:sz w:val="20"/>
                <w:szCs w:val="20"/>
                <w:lang w:val="en-MY"/>
              </w:rPr>
              <w:t>RDVI * (%IE)</w:t>
            </w:r>
          </w:p>
        </w:tc>
        <w:tc>
          <w:tcPr>
            <w:tcW w:w="1170" w:type="dxa"/>
            <w:tcBorders>
              <w:top w:val="single" w:sz="4" w:space="0" w:color="auto"/>
              <w:bottom w:val="single" w:sz="4" w:space="0" w:color="auto"/>
            </w:tcBorders>
            <w:shd w:val="clear" w:color="auto" w:fill="auto"/>
          </w:tcPr>
          <w:p w14:paraId="50A14AAB" w14:textId="77777777" w:rsidR="000B33ED" w:rsidRPr="000B33ED" w:rsidRDefault="000B33ED" w:rsidP="00154FC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MY"/>
              </w:rPr>
            </w:pPr>
            <w:r w:rsidRPr="000B33ED">
              <w:rPr>
                <w:rFonts w:asciiTheme="minorHAnsi" w:hAnsiTheme="minorHAnsi" w:cstheme="minorHAnsi"/>
                <w:sz w:val="20"/>
                <w:szCs w:val="20"/>
                <w:lang w:val="en-MY"/>
              </w:rPr>
              <w:t>MSAVI * (%IE)</w:t>
            </w:r>
          </w:p>
        </w:tc>
        <w:tc>
          <w:tcPr>
            <w:tcW w:w="830" w:type="dxa"/>
            <w:tcBorders>
              <w:top w:val="single" w:sz="4" w:space="0" w:color="auto"/>
              <w:bottom w:val="single" w:sz="4" w:space="0" w:color="auto"/>
            </w:tcBorders>
            <w:shd w:val="clear" w:color="auto" w:fill="auto"/>
          </w:tcPr>
          <w:p w14:paraId="56BA7582" w14:textId="77777777" w:rsidR="000B33ED" w:rsidRPr="000B33ED" w:rsidRDefault="000B33ED" w:rsidP="00154FC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MY"/>
              </w:rPr>
            </w:pPr>
            <w:r w:rsidRPr="000B33ED">
              <w:rPr>
                <w:rFonts w:asciiTheme="minorHAnsi" w:hAnsiTheme="minorHAnsi" w:cstheme="minorHAnsi"/>
                <w:sz w:val="20"/>
                <w:szCs w:val="20"/>
                <w:lang w:val="en-MY"/>
              </w:rPr>
              <w:t>R</w:t>
            </w:r>
            <w:r w:rsidRPr="000B33ED">
              <w:rPr>
                <w:rFonts w:asciiTheme="minorHAnsi" w:hAnsiTheme="minorHAnsi" w:cstheme="minorHAnsi"/>
                <w:sz w:val="20"/>
                <w:szCs w:val="20"/>
                <w:vertAlign w:val="superscript"/>
                <w:lang w:val="en-MY"/>
              </w:rPr>
              <w:t>2</w:t>
            </w:r>
          </w:p>
        </w:tc>
      </w:tr>
      <w:tr w:rsidR="000B33ED" w:rsidRPr="000B33ED" w14:paraId="6CF11FB4"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top w:val="single" w:sz="4" w:space="0" w:color="auto"/>
              <w:right w:val="none" w:sz="0" w:space="0" w:color="auto"/>
            </w:tcBorders>
            <w:shd w:val="clear" w:color="auto" w:fill="auto"/>
          </w:tcPr>
          <w:p w14:paraId="52606BBD" w14:textId="77777777" w:rsidR="000B33ED" w:rsidRPr="000B33ED" w:rsidRDefault="000B33ED" w:rsidP="00154FCA">
            <w:pPr>
              <w:jc w:val="both"/>
              <w:rPr>
                <w:rFonts w:asciiTheme="minorHAnsi" w:hAnsiTheme="minorHAnsi" w:cstheme="minorHAnsi"/>
                <w:sz w:val="20"/>
                <w:szCs w:val="20"/>
                <w:lang w:val="en-MY"/>
              </w:rPr>
            </w:pPr>
            <w:r w:rsidRPr="000B33ED">
              <w:rPr>
                <w:rFonts w:asciiTheme="minorHAnsi" w:hAnsiTheme="minorHAnsi" w:cstheme="minorHAnsi"/>
                <w:sz w:val="20"/>
                <w:szCs w:val="20"/>
                <w:lang w:val="en-MY"/>
              </w:rPr>
              <w:t>Control constant</w:t>
            </w:r>
          </w:p>
        </w:tc>
        <w:tc>
          <w:tcPr>
            <w:tcW w:w="721" w:type="dxa"/>
            <w:tcBorders>
              <w:top w:val="single" w:sz="4" w:space="0" w:color="auto"/>
            </w:tcBorders>
            <w:shd w:val="clear" w:color="auto" w:fill="auto"/>
          </w:tcPr>
          <w:p w14:paraId="58120C8C"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0.825</w:t>
            </w:r>
          </w:p>
          <w:p w14:paraId="47783D5C"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0.66</w:t>
            </w:r>
          </w:p>
        </w:tc>
        <w:tc>
          <w:tcPr>
            <w:tcW w:w="1453" w:type="dxa"/>
            <w:tcBorders>
              <w:top w:val="single" w:sz="4" w:space="0" w:color="auto"/>
            </w:tcBorders>
            <w:shd w:val="clear" w:color="auto" w:fill="auto"/>
          </w:tcPr>
          <w:p w14:paraId="6AD6DED7"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w:t>
            </w:r>
          </w:p>
        </w:tc>
        <w:tc>
          <w:tcPr>
            <w:tcW w:w="1168" w:type="dxa"/>
            <w:tcBorders>
              <w:top w:val="single" w:sz="4" w:space="0" w:color="auto"/>
            </w:tcBorders>
            <w:shd w:val="clear" w:color="auto" w:fill="auto"/>
          </w:tcPr>
          <w:p w14:paraId="502FD7F0"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0.111</w:t>
            </w:r>
          </w:p>
        </w:tc>
        <w:tc>
          <w:tcPr>
            <w:tcW w:w="990" w:type="dxa"/>
            <w:tcBorders>
              <w:top w:val="single" w:sz="4" w:space="0" w:color="auto"/>
            </w:tcBorders>
            <w:shd w:val="clear" w:color="auto" w:fill="auto"/>
          </w:tcPr>
          <w:p w14:paraId="567BF983"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0.165</w:t>
            </w:r>
          </w:p>
        </w:tc>
        <w:tc>
          <w:tcPr>
            <w:tcW w:w="1080" w:type="dxa"/>
            <w:tcBorders>
              <w:top w:val="single" w:sz="4" w:space="0" w:color="auto"/>
            </w:tcBorders>
            <w:shd w:val="clear" w:color="auto" w:fill="auto"/>
          </w:tcPr>
          <w:p w14:paraId="6D2002EF"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0.135</w:t>
            </w:r>
          </w:p>
        </w:tc>
        <w:tc>
          <w:tcPr>
            <w:tcW w:w="1170" w:type="dxa"/>
            <w:tcBorders>
              <w:top w:val="single" w:sz="4" w:space="0" w:color="auto"/>
            </w:tcBorders>
            <w:shd w:val="clear" w:color="auto" w:fill="auto"/>
          </w:tcPr>
          <w:p w14:paraId="001D7DB2"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3.81</w:t>
            </w:r>
          </w:p>
        </w:tc>
        <w:tc>
          <w:tcPr>
            <w:tcW w:w="830" w:type="dxa"/>
            <w:tcBorders>
              <w:top w:val="single" w:sz="4" w:space="0" w:color="auto"/>
            </w:tcBorders>
            <w:shd w:val="clear" w:color="auto" w:fill="auto"/>
          </w:tcPr>
          <w:p w14:paraId="066BB450"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0.595</w:t>
            </w:r>
          </w:p>
        </w:tc>
      </w:tr>
      <w:tr w:rsidR="000B33ED" w:rsidRPr="000B33ED" w14:paraId="06AEF9C2" w14:textId="77777777" w:rsidTr="005C1394">
        <w:trPr>
          <w:trHeight w:val="63"/>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795A1EE7" w14:textId="77777777" w:rsidR="000B33ED" w:rsidRPr="000B33ED" w:rsidRDefault="000B33ED" w:rsidP="00154FCA">
            <w:pPr>
              <w:jc w:val="both"/>
              <w:rPr>
                <w:rFonts w:asciiTheme="minorHAnsi" w:hAnsiTheme="minorHAnsi" w:cstheme="minorHAnsi"/>
                <w:sz w:val="20"/>
                <w:szCs w:val="20"/>
                <w:lang w:val="en-MY"/>
              </w:rPr>
            </w:pPr>
            <w:r w:rsidRPr="000B33ED">
              <w:rPr>
                <w:rFonts w:asciiTheme="minorHAnsi" w:hAnsiTheme="minorHAnsi" w:cstheme="minorHAnsi"/>
                <w:sz w:val="20"/>
                <w:szCs w:val="20"/>
                <w:lang w:val="en-MY"/>
              </w:rPr>
              <w:t xml:space="preserve">+15% </w:t>
            </w:r>
          </w:p>
        </w:tc>
        <w:tc>
          <w:tcPr>
            <w:tcW w:w="721" w:type="dxa"/>
            <w:shd w:val="clear" w:color="auto" w:fill="auto"/>
          </w:tcPr>
          <w:p w14:paraId="11608E2A"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0.949</w:t>
            </w:r>
          </w:p>
          <w:p w14:paraId="403A99AE"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0.759</w:t>
            </w:r>
          </w:p>
        </w:tc>
        <w:tc>
          <w:tcPr>
            <w:tcW w:w="1453" w:type="dxa"/>
            <w:shd w:val="clear" w:color="auto" w:fill="auto"/>
          </w:tcPr>
          <w:p w14:paraId="2326796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95</w:t>
            </w:r>
          </w:p>
        </w:tc>
        <w:tc>
          <w:tcPr>
            <w:tcW w:w="1168" w:type="dxa"/>
            <w:shd w:val="clear" w:color="auto" w:fill="auto"/>
          </w:tcPr>
          <w:p w14:paraId="160D6D45"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0.105</w:t>
            </w:r>
          </w:p>
        </w:tc>
        <w:tc>
          <w:tcPr>
            <w:tcW w:w="990" w:type="dxa"/>
            <w:shd w:val="clear" w:color="auto" w:fill="auto"/>
          </w:tcPr>
          <w:p w14:paraId="1C25B0A8"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0.181</w:t>
            </w:r>
          </w:p>
        </w:tc>
        <w:tc>
          <w:tcPr>
            <w:tcW w:w="1080" w:type="dxa"/>
            <w:shd w:val="clear" w:color="auto" w:fill="auto"/>
          </w:tcPr>
          <w:p w14:paraId="6CF6E68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0.138</w:t>
            </w:r>
          </w:p>
        </w:tc>
        <w:tc>
          <w:tcPr>
            <w:tcW w:w="1170" w:type="dxa"/>
            <w:shd w:val="clear" w:color="auto" w:fill="auto"/>
          </w:tcPr>
          <w:p w14:paraId="56F6F6E0"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 xml:space="preserve"> 0.261</w:t>
            </w:r>
          </w:p>
        </w:tc>
        <w:tc>
          <w:tcPr>
            <w:tcW w:w="830" w:type="dxa"/>
            <w:shd w:val="clear" w:color="auto" w:fill="auto"/>
          </w:tcPr>
          <w:p w14:paraId="5B69D8CC"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0.662</w:t>
            </w:r>
          </w:p>
        </w:tc>
      </w:tr>
      <w:tr w:rsidR="000B33ED" w:rsidRPr="000B33ED" w14:paraId="294EFED8"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01B02D52"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5EC74BD9"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1EB5B25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80</w:t>
            </w:r>
          </w:p>
        </w:tc>
        <w:tc>
          <w:tcPr>
            <w:tcW w:w="1168" w:type="dxa"/>
            <w:shd w:val="clear" w:color="auto" w:fill="auto"/>
          </w:tcPr>
          <w:p w14:paraId="3B881477"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0.088</w:t>
            </w:r>
          </w:p>
        </w:tc>
        <w:tc>
          <w:tcPr>
            <w:tcW w:w="990" w:type="dxa"/>
            <w:shd w:val="clear" w:color="auto" w:fill="auto"/>
          </w:tcPr>
          <w:p w14:paraId="6E85F70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0.152</w:t>
            </w:r>
          </w:p>
        </w:tc>
        <w:tc>
          <w:tcPr>
            <w:tcW w:w="1080" w:type="dxa"/>
            <w:shd w:val="clear" w:color="auto" w:fill="auto"/>
          </w:tcPr>
          <w:p w14:paraId="2463245C"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0.116</w:t>
            </w:r>
          </w:p>
        </w:tc>
        <w:tc>
          <w:tcPr>
            <w:tcW w:w="1170" w:type="dxa"/>
            <w:shd w:val="clear" w:color="auto" w:fill="auto"/>
          </w:tcPr>
          <w:p w14:paraId="0A769C4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0.22</w:t>
            </w:r>
          </w:p>
        </w:tc>
        <w:tc>
          <w:tcPr>
            <w:tcW w:w="830" w:type="dxa"/>
            <w:shd w:val="clear" w:color="auto" w:fill="auto"/>
          </w:tcPr>
          <w:p w14:paraId="03568593"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0.661</w:t>
            </w:r>
          </w:p>
        </w:tc>
      </w:tr>
      <w:tr w:rsidR="000B33ED" w:rsidRPr="000B33ED" w14:paraId="05381C01"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56935EE9"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6EAD048E"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7E94BBB6"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50</w:t>
            </w:r>
          </w:p>
        </w:tc>
        <w:tc>
          <w:tcPr>
            <w:tcW w:w="1168" w:type="dxa"/>
            <w:shd w:val="clear" w:color="auto" w:fill="auto"/>
          </w:tcPr>
          <w:p w14:paraId="2AF22656"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0.055</w:t>
            </w:r>
          </w:p>
        </w:tc>
        <w:tc>
          <w:tcPr>
            <w:tcW w:w="990" w:type="dxa"/>
            <w:shd w:val="clear" w:color="auto" w:fill="auto"/>
          </w:tcPr>
          <w:p w14:paraId="26B57667"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0.095</w:t>
            </w:r>
          </w:p>
        </w:tc>
        <w:tc>
          <w:tcPr>
            <w:tcW w:w="1080" w:type="dxa"/>
            <w:shd w:val="clear" w:color="auto" w:fill="auto"/>
          </w:tcPr>
          <w:p w14:paraId="1A8C19F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0.073</w:t>
            </w:r>
          </w:p>
        </w:tc>
        <w:tc>
          <w:tcPr>
            <w:tcW w:w="1170" w:type="dxa"/>
            <w:shd w:val="clear" w:color="auto" w:fill="auto"/>
          </w:tcPr>
          <w:p w14:paraId="0BCE178B"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0.138</w:t>
            </w:r>
          </w:p>
        </w:tc>
        <w:tc>
          <w:tcPr>
            <w:tcW w:w="830" w:type="dxa"/>
            <w:shd w:val="clear" w:color="auto" w:fill="auto"/>
          </w:tcPr>
          <w:p w14:paraId="7C69E30B"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0.667</w:t>
            </w:r>
          </w:p>
        </w:tc>
      </w:tr>
      <w:tr w:rsidR="000B33ED" w:rsidRPr="000B33ED" w14:paraId="68EBFCC4" w14:textId="77777777" w:rsidTr="005C1394">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54970158"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401B628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75A00C3D"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20</w:t>
            </w:r>
          </w:p>
        </w:tc>
        <w:tc>
          <w:tcPr>
            <w:tcW w:w="1168" w:type="dxa"/>
            <w:shd w:val="clear" w:color="auto" w:fill="auto"/>
          </w:tcPr>
          <w:p w14:paraId="180284A3"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0.022</w:t>
            </w:r>
          </w:p>
        </w:tc>
        <w:tc>
          <w:tcPr>
            <w:tcW w:w="990" w:type="dxa"/>
            <w:shd w:val="clear" w:color="auto" w:fill="auto"/>
          </w:tcPr>
          <w:p w14:paraId="33A71A1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0.038</w:t>
            </w:r>
          </w:p>
        </w:tc>
        <w:tc>
          <w:tcPr>
            <w:tcW w:w="1080" w:type="dxa"/>
            <w:shd w:val="clear" w:color="auto" w:fill="auto"/>
          </w:tcPr>
          <w:p w14:paraId="2CA092A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0.029</w:t>
            </w:r>
          </w:p>
        </w:tc>
        <w:tc>
          <w:tcPr>
            <w:tcW w:w="1170" w:type="dxa"/>
            <w:shd w:val="clear" w:color="auto" w:fill="auto"/>
          </w:tcPr>
          <w:p w14:paraId="272740F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0.055</w:t>
            </w:r>
          </w:p>
        </w:tc>
        <w:tc>
          <w:tcPr>
            <w:tcW w:w="830" w:type="dxa"/>
            <w:shd w:val="clear" w:color="auto" w:fill="auto"/>
          </w:tcPr>
          <w:p w14:paraId="27F479A8"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0.661</w:t>
            </w:r>
          </w:p>
        </w:tc>
      </w:tr>
      <w:tr w:rsidR="000B33ED" w:rsidRPr="000B33ED" w14:paraId="201A9DF0"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404CEA22"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61BEE8A6"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73F02163"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168" w:type="dxa"/>
            <w:shd w:val="clear" w:color="auto" w:fill="auto"/>
          </w:tcPr>
          <w:p w14:paraId="5E3DC12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990" w:type="dxa"/>
            <w:shd w:val="clear" w:color="auto" w:fill="auto"/>
          </w:tcPr>
          <w:p w14:paraId="0229096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080" w:type="dxa"/>
            <w:shd w:val="clear" w:color="auto" w:fill="auto"/>
          </w:tcPr>
          <w:p w14:paraId="7B5AB2BE"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170" w:type="dxa"/>
            <w:shd w:val="clear" w:color="auto" w:fill="auto"/>
          </w:tcPr>
          <w:p w14:paraId="61882CAB"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830" w:type="dxa"/>
            <w:shd w:val="clear" w:color="auto" w:fill="auto"/>
          </w:tcPr>
          <w:p w14:paraId="40268073"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r>
      <w:tr w:rsidR="000B33ED" w:rsidRPr="000B33ED" w14:paraId="0AA33A54"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3829B1B7" w14:textId="77777777" w:rsidR="000B33ED" w:rsidRPr="000B33ED" w:rsidRDefault="000B33ED" w:rsidP="00154FCA">
            <w:pPr>
              <w:jc w:val="both"/>
              <w:rPr>
                <w:rFonts w:asciiTheme="minorHAnsi" w:hAnsiTheme="minorHAnsi" w:cstheme="minorHAnsi"/>
                <w:sz w:val="20"/>
                <w:szCs w:val="20"/>
                <w:lang w:val="en-MY"/>
              </w:rPr>
            </w:pPr>
            <w:r w:rsidRPr="000B33ED">
              <w:rPr>
                <w:rFonts w:asciiTheme="minorHAnsi" w:hAnsiTheme="minorHAnsi" w:cstheme="minorHAnsi"/>
                <w:sz w:val="20"/>
                <w:szCs w:val="20"/>
                <w:lang w:val="en-MY"/>
              </w:rPr>
              <w:t>+10</w:t>
            </w:r>
          </w:p>
        </w:tc>
        <w:tc>
          <w:tcPr>
            <w:tcW w:w="721" w:type="dxa"/>
            <w:shd w:val="clear" w:color="auto" w:fill="auto"/>
          </w:tcPr>
          <w:p w14:paraId="329395C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0.908</w:t>
            </w:r>
          </w:p>
          <w:p w14:paraId="62E65E31"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0.726</w:t>
            </w:r>
          </w:p>
        </w:tc>
        <w:tc>
          <w:tcPr>
            <w:tcW w:w="1453" w:type="dxa"/>
            <w:shd w:val="clear" w:color="auto" w:fill="auto"/>
          </w:tcPr>
          <w:p w14:paraId="3AB868A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95</w:t>
            </w:r>
          </w:p>
        </w:tc>
        <w:tc>
          <w:tcPr>
            <w:tcW w:w="1168" w:type="dxa"/>
            <w:shd w:val="clear" w:color="auto" w:fill="auto"/>
          </w:tcPr>
          <w:p w14:paraId="4F9382E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0.105</w:t>
            </w:r>
          </w:p>
        </w:tc>
        <w:tc>
          <w:tcPr>
            <w:tcW w:w="990" w:type="dxa"/>
            <w:shd w:val="clear" w:color="auto" w:fill="auto"/>
          </w:tcPr>
          <w:p w14:paraId="691155D1"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0.216</w:t>
            </w:r>
          </w:p>
        </w:tc>
        <w:tc>
          <w:tcPr>
            <w:tcW w:w="1080" w:type="dxa"/>
            <w:shd w:val="clear" w:color="auto" w:fill="auto"/>
          </w:tcPr>
          <w:p w14:paraId="59162FD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0.162</w:t>
            </w:r>
          </w:p>
        </w:tc>
        <w:tc>
          <w:tcPr>
            <w:tcW w:w="1170" w:type="dxa"/>
            <w:shd w:val="clear" w:color="auto" w:fill="auto"/>
          </w:tcPr>
          <w:p w14:paraId="4335D05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0.129</w:t>
            </w:r>
          </w:p>
        </w:tc>
        <w:tc>
          <w:tcPr>
            <w:tcW w:w="830" w:type="dxa"/>
            <w:shd w:val="clear" w:color="auto" w:fill="auto"/>
          </w:tcPr>
          <w:p w14:paraId="0286DB99"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0.002</w:t>
            </w:r>
          </w:p>
        </w:tc>
      </w:tr>
      <w:tr w:rsidR="000B33ED" w:rsidRPr="000B33ED" w14:paraId="65DB4487"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33014F68"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54501DAA"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208EEBF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80</w:t>
            </w:r>
          </w:p>
        </w:tc>
        <w:tc>
          <w:tcPr>
            <w:tcW w:w="1168" w:type="dxa"/>
            <w:shd w:val="clear" w:color="auto" w:fill="auto"/>
          </w:tcPr>
          <w:p w14:paraId="260060B7"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0.089</w:t>
            </w:r>
          </w:p>
        </w:tc>
        <w:tc>
          <w:tcPr>
            <w:tcW w:w="990" w:type="dxa"/>
            <w:shd w:val="clear" w:color="auto" w:fill="auto"/>
          </w:tcPr>
          <w:p w14:paraId="778B2677"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0.182</w:t>
            </w:r>
          </w:p>
        </w:tc>
        <w:tc>
          <w:tcPr>
            <w:tcW w:w="1080" w:type="dxa"/>
            <w:shd w:val="clear" w:color="auto" w:fill="auto"/>
          </w:tcPr>
          <w:p w14:paraId="304FA934"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0.140</w:t>
            </w:r>
          </w:p>
        </w:tc>
        <w:tc>
          <w:tcPr>
            <w:tcW w:w="1170" w:type="dxa"/>
            <w:shd w:val="clear" w:color="auto" w:fill="auto"/>
          </w:tcPr>
          <w:p w14:paraId="7B1B010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0.109</w:t>
            </w:r>
          </w:p>
        </w:tc>
        <w:tc>
          <w:tcPr>
            <w:tcW w:w="830" w:type="dxa"/>
            <w:shd w:val="clear" w:color="auto" w:fill="auto"/>
          </w:tcPr>
          <w:p w14:paraId="5603AB9B"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0.003</w:t>
            </w:r>
          </w:p>
        </w:tc>
      </w:tr>
      <w:tr w:rsidR="000B33ED" w:rsidRPr="000B33ED" w14:paraId="52384AC8"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27E0EC7A"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7ADCBA57"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00E59A63"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50</w:t>
            </w:r>
          </w:p>
        </w:tc>
        <w:tc>
          <w:tcPr>
            <w:tcW w:w="1168" w:type="dxa"/>
            <w:shd w:val="clear" w:color="auto" w:fill="auto"/>
          </w:tcPr>
          <w:p w14:paraId="03608855"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0.055</w:t>
            </w:r>
          </w:p>
        </w:tc>
        <w:tc>
          <w:tcPr>
            <w:tcW w:w="990" w:type="dxa"/>
            <w:shd w:val="clear" w:color="auto" w:fill="auto"/>
          </w:tcPr>
          <w:p w14:paraId="295AD97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0.114</w:t>
            </w:r>
          </w:p>
        </w:tc>
        <w:tc>
          <w:tcPr>
            <w:tcW w:w="1080" w:type="dxa"/>
            <w:shd w:val="clear" w:color="auto" w:fill="auto"/>
          </w:tcPr>
          <w:p w14:paraId="1D56164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0.085</w:t>
            </w:r>
          </w:p>
        </w:tc>
        <w:tc>
          <w:tcPr>
            <w:tcW w:w="1170" w:type="dxa"/>
            <w:shd w:val="clear" w:color="auto" w:fill="auto"/>
          </w:tcPr>
          <w:p w14:paraId="0AA1DDD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0.068</w:t>
            </w:r>
          </w:p>
        </w:tc>
        <w:tc>
          <w:tcPr>
            <w:tcW w:w="830" w:type="dxa"/>
            <w:shd w:val="clear" w:color="auto" w:fill="auto"/>
          </w:tcPr>
          <w:p w14:paraId="7EC7CE0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0.002</w:t>
            </w:r>
          </w:p>
        </w:tc>
      </w:tr>
      <w:tr w:rsidR="000B33ED" w:rsidRPr="000B33ED" w14:paraId="205370F2"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5499C787"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2A885CF6"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4C6317D1"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20</w:t>
            </w:r>
          </w:p>
        </w:tc>
        <w:tc>
          <w:tcPr>
            <w:tcW w:w="1168" w:type="dxa"/>
            <w:shd w:val="clear" w:color="auto" w:fill="auto"/>
          </w:tcPr>
          <w:p w14:paraId="10958D96"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0.022</w:t>
            </w:r>
          </w:p>
        </w:tc>
        <w:tc>
          <w:tcPr>
            <w:tcW w:w="990" w:type="dxa"/>
            <w:shd w:val="clear" w:color="auto" w:fill="auto"/>
          </w:tcPr>
          <w:p w14:paraId="5465731B"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0.046</w:t>
            </w:r>
          </w:p>
        </w:tc>
        <w:tc>
          <w:tcPr>
            <w:tcW w:w="1080" w:type="dxa"/>
            <w:shd w:val="clear" w:color="auto" w:fill="auto"/>
          </w:tcPr>
          <w:p w14:paraId="52FDB4D0"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0.034</w:t>
            </w:r>
          </w:p>
        </w:tc>
        <w:tc>
          <w:tcPr>
            <w:tcW w:w="1170" w:type="dxa"/>
            <w:shd w:val="clear" w:color="auto" w:fill="auto"/>
          </w:tcPr>
          <w:p w14:paraId="6A0E7FE1"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0.027</w:t>
            </w:r>
          </w:p>
        </w:tc>
        <w:tc>
          <w:tcPr>
            <w:tcW w:w="830" w:type="dxa"/>
            <w:shd w:val="clear" w:color="auto" w:fill="auto"/>
          </w:tcPr>
          <w:p w14:paraId="494CBF4B"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0.001</w:t>
            </w:r>
          </w:p>
        </w:tc>
      </w:tr>
      <w:tr w:rsidR="000B33ED" w:rsidRPr="000B33ED" w14:paraId="26164F29"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3C20BF71"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4F5D2F7C"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44F3954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168" w:type="dxa"/>
            <w:shd w:val="clear" w:color="auto" w:fill="auto"/>
          </w:tcPr>
          <w:p w14:paraId="4FB331A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990" w:type="dxa"/>
            <w:shd w:val="clear" w:color="auto" w:fill="auto"/>
          </w:tcPr>
          <w:p w14:paraId="288440C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080" w:type="dxa"/>
            <w:shd w:val="clear" w:color="auto" w:fill="auto"/>
          </w:tcPr>
          <w:p w14:paraId="74B6418C"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170" w:type="dxa"/>
            <w:shd w:val="clear" w:color="auto" w:fill="auto"/>
          </w:tcPr>
          <w:p w14:paraId="0EFD9298"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830" w:type="dxa"/>
            <w:shd w:val="clear" w:color="auto" w:fill="auto"/>
          </w:tcPr>
          <w:p w14:paraId="30ED991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r>
      <w:tr w:rsidR="000B33ED" w:rsidRPr="000B33ED" w14:paraId="358B7D60"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40E7A8E4" w14:textId="77777777" w:rsidR="000B33ED" w:rsidRPr="000B33ED" w:rsidRDefault="000B33ED" w:rsidP="00154FCA">
            <w:pPr>
              <w:jc w:val="both"/>
              <w:rPr>
                <w:rFonts w:asciiTheme="minorHAnsi" w:hAnsiTheme="minorHAnsi" w:cstheme="minorHAnsi"/>
                <w:sz w:val="20"/>
                <w:szCs w:val="20"/>
                <w:lang w:val="en-MY"/>
              </w:rPr>
            </w:pPr>
            <w:r w:rsidRPr="000B33ED">
              <w:rPr>
                <w:rFonts w:asciiTheme="minorHAnsi" w:hAnsiTheme="minorHAnsi" w:cstheme="minorHAnsi"/>
                <w:sz w:val="20"/>
                <w:szCs w:val="20"/>
                <w:lang w:val="en-MY"/>
              </w:rPr>
              <w:t>+5%</w:t>
            </w:r>
          </w:p>
        </w:tc>
        <w:tc>
          <w:tcPr>
            <w:tcW w:w="721" w:type="dxa"/>
            <w:shd w:val="clear" w:color="auto" w:fill="auto"/>
          </w:tcPr>
          <w:p w14:paraId="12471A3B"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0.866</w:t>
            </w:r>
          </w:p>
          <w:p w14:paraId="4CC61662"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0.693</w:t>
            </w:r>
          </w:p>
        </w:tc>
        <w:tc>
          <w:tcPr>
            <w:tcW w:w="1453" w:type="dxa"/>
            <w:shd w:val="clear" w:color="auto" w:fill="auto"/>
          </w:tcPr>
          <w:p w14:paraId="66559C58"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95</w:t>
            </w:r>
          </w:p>
        </w:tc>
        <w:tc>
          <w:tcPr>
            <w:tcW w:w="1168" w:type="dxa"/>
            <w:shd w:val="clear" w:color="auto" w:fill="auto"/>
          </w:tcPr>
          <w:p w14:paraId="7D5BC7A3"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0.105</w:t>
            </w:r>
          </w:p>
        </w:tc>
        <w:tc>
          <w:tcPr>
            <w:tcW w:w="990" w:type="dxa"/>
            <w:shd w:val="clear" w:color="auto" w:fill="auto"/>
          </w:tcPr>
          <w:p w14:paraId="4506B917"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0.164</w:t>
            </w:r>
          </w:p>
        </w:tc>
        <w:tc>
          <w:tcPr>
            <w:tcW w:w="1080" w:type="dxa"/>
            <w:shd w:val="clear" w:color="auto" w:fill="auto"/>
          </w:tcPr>
          <w:p w14:paraId="2DF79161"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0.132</w:t>
            </w:r>
          </w:p>
        </w:tc>
        <w:tc>
          <w:tcPr>
            <w:tcW w:w="1170" w:type="dxa"/>
            <w:shd w:val="clear" w:color="auto" w:fill="auto"/>
          </w:tcPr>
          <w:p w14:paraId="0D9110E8"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0.126</w:t>
            </w:r>
          </w:p>
        </w:tc>
        <w:tc>
          <w:tcPr>
            <w:tcW w:w="830" w:type="dxa"/>
            <w:shd w:val="clear" w:color="auto" w:fill="auto"/>
          </w:tcPr>
          <w:p w14:paraId="11423F85"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0.027</w:t>
            </w:r>
          </w:p>
        </w:tc>
      </w:tr>
      <w:tr w:rsidR="000B33ED" w:rsidRPr="000B33ED" w14:paraId="4F61B0AD"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43559E39"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46A3BC1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1273677F"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80</w:t>
            </w:r>
          </w:p>
        </w:tc>
        <w:tc>
          <w:tcPr>
            <w:tcW w:w="1168" w:type="dxa"/>
            <w:shd w:val="clear" w:color="auto" w:fill="auto"/>
          </w:tcPr>
          <w:p w14:paraId="70561BE5"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0.089</w:t>
            </w:r>
          </w:p>
        </w:tc>
        <w:tc>
          <w:tcPr>
            <w:tcW w:w="990" w:type="dxa"/>
            <w:shd w:val="clear" w:color="auto" w:fill="auto"/>
          </w:tcPr>
          <w:p w14:paraId="3279193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0.138</w:t>
            </w:r>
          </w:p>
        </w:tc>
        <w:tc>
          <w:tcPr>
            <w:tcW w:w="1080" w:type="dxa"/>
            <w:shd w:val="clear" w:color="auto" w:fill="auto"/>
          </w:tcPr>
          <w:p w14:paraId="6AC8A0D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0.111</w:t>
            </w:r>
          </w:p>
        </w:tc>
        <w:tc>
          <w:tcPr>
            <w:tcW w:w="1170" w:type="dxa"/>
            <w:shd w:val="clear" w:color="auto" w:fill="auto"/>
          </w:tcPr>
          <w:p w14:paraId="2DCFB78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0.106</w:t>
            </w:r>
          </w:p>
        </w:tc>
        <w:tc>
          <w:tcPr>
            <w:tcW w:w="830" w:type="dxa"/>
            <w:shd w:val="clear" w:color="auto" w:fill="auto"/>
          </w:tcPr>
          <w:p w14:paraId="14C11C27"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0.023</w:t>
            </w:r>
          </w:p>
        </w:tc>
      </w:tr>
      <w:tr w:rsidR="000B33ED" w:rsidRPr="000B33ED" w14:paraId="1442F2F1"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71C3B2A3"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7BA91697"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20D496F8"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50</w:t>
            </w:r>
          </w:p>
        </w:tc>
        <w:tc>
          <w:tcPr>
            <w:tcW w:w="1168" w:type="dxa"/>
            <w:shd w:val="clear" w:color="auto" w:fill="auto"/>
          </w:tcPr>
          <w:p w14:paraId="16B0622B"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0.055</w:t>
            </w:r>
          </w:p>
        </w:tc>
        <w:tc>
          <w:tcPr>
            <w:tcW w:w="990" w:type="dxa"/>
            <w:shd w:val="clear" w:color="auto" w:fill="auto"/>
          </w:tcPr>
          <w:p w14:paraId="07B2B656"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0.865</w:t>
            </w:r>
          </w:p>
        </w:tc>
        <w:tc>
          <w:tcPr>
            <w:tcW w:w="1080" w:type="dxa"/>
            <w:shd w:val="clear" w:color="auto" w:fill="auto"/>
          </w:tcPr>
          <w:p w14:paraId="6E09A2E2"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0.069</w:t>
            </w:r>
          </w:p>
        </w:tc>
        <w:tc>
          <w:tcPr>
            <w:tcW w:w="1170" w:type="dxa"/>
            <w:shd w:val="clear" w:color="auto" w:fill="auto"/>
          </w:tcPr>
          <w:p w14:paraId="02BAA74D"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0.067</w:t>
            </w:r>
          </w:p>
        </w:tc>
        <w:tc>
          <w:tcPr>
            <w:tcW w:w="830" w:type="dxa"/>
            <w:shd w:val="clear" w:color="auto" w:fill="auto"/>
          </w:tcPr>
          <w:p w14:paraId="4DB0D75D"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0.060</w:t>
            </w:r>
          </w:p>
        </w:tc>
      </w:tr>
      <w:tr w:rsidR="000B33ED" w:rsidRPr="000B33ED" w14:paraId="2DD1D948"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676EBE19"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1E7FA7E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225985E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20</w:t>
            </w:r>
          </w:p>
        </w:tc>
        <w:tc>
          <w:tcPr>
            <w:tcW w:w="1168" w:type="dxa"/>
            <w:shd w:val="clear" w:color="auto" w:fill="auto"/>
          </w:tcPr>
          <w:p w14:paraId="5F72330C"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0.022</w:t>
            </w:r>
          </w:p>
        </w:tc>
        <w:tc>
          <w:tcPr>
            <w:tcW w:w="990" w:type="dxa"/>
            <w:shd w:val="clear" w:color="auto" w:fill="auto"/>
          </w:tcPr>
          <w:p w14:paraId="3B1D4E8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0.035</w:t>
            </w:r>
          </w:p>
        </w:tc>
        <w:tc>
          <w:tcPr>
            <w:tcW w:w="1080" w:type="dxa"/>
            <w:shd w:val="clear" w:color="auto" w:fill="auto"/>
          </w:tcPr>
          <w:p w14:paraId="6E5AF5A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00.028</w:t>
            </w:r>
          </w:p>
        </w:tc>
        <w:tc>
          <w:tcPr>
            <w:tcW w:w="1170" w:type="dxa"/>
            <w:shd w:val="clear" w:color="auto" w:fill="auto"/>
          </w:tcPr>
          <w:p w14:paraId="328EC243"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0.027</w:t>
            </w:r>
          </w:p>
        </w:tc>
        <w:tc>
          <w:tcPr>
            <w:tcW w:w="830" w:type="dxa"/>
            <w:shd w:val="clear" w:color="auto" w:fill="auto"/>
          </w:tcPr>
          <w:p w14:paraId="29BF5FF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0.033</w:t>
            </w:r>
          </w:p>
        </w:tc>
      </w:tr>
      <w:tr w:rsidR="000B33ED" w:rsidRPr="000B33ED" w14:paraId="1C1F230D"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6689625D"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3F8F875E"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0048E51D"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168" w:type="dxa"/>
            <w:shd w:val="clear" w:color="auto" w:fill="auto"/>
          </w:tcPr>
          <w:p w14:paraId="078A335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990" w:type="dxa"/>
            <w:shd w:val="clear" w:color="auto" w:fill="auto"/>
          </w:tcPr>
          <w:p w14:paraId="5BE09E72"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080" w:type="dxa"/>
            <w:shd w:val="clear" w:color="auto" w:fill="auto"/>
          </w:tcPr>
          <w:p w14:paraId="532B5DB6"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170" w:type="dxa"/>
            <w:shd w:val="clear" w:color="auto" w:fill="auto"/>
          </w:tcPr>
          <w:p w14:paraId="41B6E5A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830" w:type="dxa"/>
            <w:shd w:val="clear" w:color="auto" w:fill="auto"/>
          </w:tcPr>
          <w:p w14:paraId="2095565E"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r>
      <w:tr w:rsidR="000B33ED" w:rsidRPr="000B33ED" w14:paraId="17134FA3"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71906776" w14:textId="77777777" w:rsidR="000B33ED" w:rsidRPr="000B33ED" w:rsidRDefault="000B33ED" w:rsidP="00154FCA">
            <w:pPr>
              <w:jc w:val="both"/>
              <w:rPr>
                <w:rFonts w:asciiTheme="minorHAnsi" w:hAnsiTheme="minorHAnsi" w:cstheme="minorHAnsi"/>
                <w:sz w:val="20"/>
                <w:szCs w:val="20"/>
                <w:lang w:val="en-MY"/>
              </w:rPr>
            </w:pPr>
            <w:r w:rsidRPr="000B33ED">
              <w:rPr>
                <w:rFonts w:asciiTheme="minorHAnsi" w:hAnsiTheme="minorHAnsi" w:cstheme="minorHAnsi"/>
                <w:sz w:val="20"/>
                <w:szCs w:val="20"/>
                <w:lang w:val="en-MY"/>
              </w:rPr>
              <w:t>+2%</w:t>
            </w:r>
          </w:p>
        </w:tc>
        <w:tc>
          <w:tcPr>
            <w:tcW w:w="721" w:type="dxa"/>
            <w:shd w:val="clear" w:color="auto" w:fill="auto"/>
          </w:tcPr>
          <w:p w14:paraId="4BDE0D7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0.842</w:t>
            </w:r>
          </w:p>
          <w:p w14:paraId="20B80C0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0.673</w:t>
            </w:r>
          </w:p>
        </w:tc>
        <w:tc>
          <w:tcPr>
            <w:tcW w:w="1453" w:type="dxa"/>
            <w:shd w:val="clear" w:color="auto" w:fill="auto"/>
          </w:tcPr>
          <w:p w14:paraId="4FB1B13F"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95</w:t>
            </w:r>
          </w:p>
        </w:tc>
        <w:tc>
          <w:tcPr>
            <w:tcW w:w="1168" w:type="dxa"/>
            <w:shd w:val="clear" w:color="auto" w:fill="auto"/>
          </w:tcPr>
          <w:p w14:paraId="6EE995C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0.106</w:t>
            </w:r>
          </w:p>
        </w:tc>
        <w:tc>
          <w:tcPr>
            <w:tcW w:w="990" w:type="dxa"/>
            <w:shd w:val="clear" w:color="auto" w:fill="auto"/>
          </w:tcPr>
          <w:p w14:paraId="1223CF9C"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0.161</w:t>
            </w:r>
          </w:p>
        </w:tc>
        <w:tc>
          <w:tcPr>
            <w:tcW w:w="1080" w:type="dxa"/>
            <w:shd w:val="clear" w:color="auto" w:fill="auto"/>
          </w:tcPr>
          <w:p w14:paraId="02E03EC2"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0.130</w:t>
            </w:r>
          </w:p>
        </w:tc>
        <w:tc>
          <w:tcPr>
            <w:tcW w:w="1170" w:type="dxa"/>
            <w:shd w:val="clear" w:color="auto" w:fill="auto"/>
          </w:tcPr>
          <w:p w14:paraId="6FD45CF5"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0.126</w:t>
            </w:r>
          </w:p>
        </w:tc>
        <w:tc>
          <w:tcPr>
            <w:tcW w:w="830" w:type="dxa"/>
            <w:shd w:val="clear" w:color="auto" w:fill="auto"/>
          </w:tcPr>
          <w:p w14:paraId="40FF23F5"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0.027</w:t>
            </w:r>
          </w:p>
        </w:tc>
      </w:tr>
      <w:tr w:rsidR="000B33ED" w:rsidRPr="000B33ED" w14:paraId="750A247A"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5AE2EDB0"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4EC5721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07B6F7E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80</w:t>
            </w:r>
          </w:p>
        </w:tc>
        <w:tc>
          <w:tcPr>
            <w:tcW w:w="1168" w:type="dxa"/>
            <w:shd w:val="clear" w:color="auto" w:fill="auto"/>
          </w:tcPr>
          <w:p w14:paraId="11515C6C"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0.090</w:t>
            </w:r>
          </w:p>
        </w:tc>
        <w:tc>
          <w:tcPr>
            <w:tcW w:w="990" w:type="dxa"/>
            <w:shd w:val="clear" w:color="auto" w:fill="auto"/>
          </w:tcPr>
          <w:p w14:paraId="7953463D"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0.135</w:t>
            </w:r>
          </w:p>
        </w:tc>
        <w:tc>
          <w:tcPr>
            <w:tcW w:w="1080" w:type="dxa"/>
            <w:shd w:val="clear" w:color="auto" w:fill="auto"/>
          </w:tcPr>
          <w:p w14:paraId="0ABA9C68"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0.110</w:t>
            </w:r>
          </w:p>
        </w:tc>
        <w:tc>
          <w:tcPr>
            <w:tcW w:w="1170" w:type="dxa"/>
            <w:shd w:val="clear" w:color="auto" w:fill="auto"/>
          </w:tcPr>
          <w:p w14:paraId="340EFA34"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0.106</w:t>
            </w:r>
          </w:p>
        </w:tc>
        <w:tc>
          <w:tcPr>
            <w:tcW w:w="830" w:type="dxa"/>
            <w:shd w:val="clear" w:color="auto" w:fill="auto"/>
          </w:tcPr>
          <w:p w14:paraId="3DA16E1D"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0.025</w:t>
            </w:r>
          </w:p>
        </w:tc>
      </w:tr>
      <w:tr w:rsidR="000B33ED" w:rsidRPr="000B33ED" w14:paraId="0DA6DCC1"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21264346"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53EF9E15"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2A907AAD"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50</w:t>
            </w:r>
          </w:p>
        </w:tc>
        <w:tc>
          <w:tcPr>
            <w:tcW w:w="1168" w:type="dxa"/>
            <w:shd w:val="clear" w:color="auto" w:fill="auto"/>
          </w:tcPr>
          <w:p w14:paraId="03BEF9AC"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0.050</w:t>
            </w:r>
          </w:p>
        </w:tc>
        <w:tc>
          <w:tcPr>
            <w:tcW w:w="990" w:type="dxa"/>
            <w:shd w:val="clear" w:color="auto" w:fill="auto"/>
          </w:tcPr>
          <w:p w14:paraId="507CDF2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0.084</w:t>
            </w:r>
          </w:p>
        </w:tc>
        <w:tc>
          <w:tcPr>
            <w:tcW w:w="1080" w:type="dxa"/>
            <w:shd w:val="clear" w:color="auto" w:fill="auto"/>
          </w:tcPr>
          <w:p w14:paraId="6189A053"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0.069</w:t>
            </w:r>
          </w:p>
        </w:tc>
        <w:tc>
          <w:tcPr>
            <w:tcW w:w="1170" w:type="dxa"/>
            <w:shd w:val="clear" w:color="auto" w:fill="auto"/>
          </w:tcPr>
          <w:p w14:paraId="77D88317"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0.067</w:t>
            </w:r>
          </w:p>
        </w:tc>
        <w:tc>
          <w:tcPr>
            <w:tcW w:w="830" w:type="dxa"/>
            <w:shd w:val="clear" w:color="auto" w:fill="auto"/>
          </w:tcPr>
          <w:p w14:paraId="4829FB9F"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0.041</w:t>
            </w:r>
          </w:p>
        </w:tc>
      </w:tr>
      <w:tr w:rsidR="000B33ED" w:rsidRPr="000B33ED" w14:paraId="6B6914D2"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556F915C"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34284792"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084E7B04"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20</w:t>
            </w:r>
          </w:p>
        </w:tc>
        <w:tc>
          <w:tcPr>
            <w:tcW w:w="1168" w:type="dxa"/>
            <w:shd w:val="clear" w:color="auto" w:fill="auto"/>
          </w:tcPr>
          <w:p w14:paraId="45D20D2A"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0.022</w:t>
            </w:r>
          </w:p>
        </w:tc>
        <w:tc>
          <w:tcPr>
            <w:tcW w:w="990" w:type="dxa"/>
            <w:shd w:val="clear" w:color="auto" w:fill="auto"/>
          </w:tcPr>
          <w:p w14:paraId="264FCD64"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0.034</w:t>
            </w:r>
          </w:p>
        </w:tc>
        <w:tc>
          <w:tcPr>
            <w:tcW w:w="1080" w:type="dxa"/>
            <w:shd w:val="clear" w:color="auto" w:fill="auto"/>
          </w:tcPr>
          <w:p w14:paraId="5E873398"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0.027</w:t>
            </w:r>
          </w:p>
        </w:tc>
        <w:tc>
          <w:tcPr>
            <w:tcW w:w="1170" w:type="dxa"/>
            <w:shd w:val="clear" w:color="auto" w:fill="auto"/>
          </w:tcPr>
          <w:p w14:paraId="03D325E4"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0.027</w:t>
            </w:r>
          </w:p>
        </w:tc>
        <w:tc>
          <w:tcPr>
            <w:tcW w:w="830" w:type="dxa"/>
            <w:shd w:val="clear" w:color="auto" w:fill="auto"/>
          </w:tcPr>
          <w:p w14:paraId="56613CD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0.044</w:t>
            </w:r>
          </w:p>
        </w:tc>
      </w:tr>
      <w:tr w:rsidR="000B33ED" w:rsidRPr="000B33ED" w14:paraId="20DC183F"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3950A603"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65FDA651"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4EE25A7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168" w:type="dxa"/>
            <w:shd w:val="clear" w:color="auto" w:fill="auto"/>
          </w:tcPr>
          <w:p w14:paraId="5CB5C71F"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990" w:type="dxa"/>
            <w:shd w:val="clear" w:color="auto" w:fill="auto"/>
          </w:tcPr>
          <w:p w14:paraId="44A4D112"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080" w:type="dxa"/>
            <w:shd w:val="clear" w:color="auto" w:fill="auto"/>
          </w:tcPr>
          <w:p w14:paraId="01F56D18"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170" w:type="dxa"/>
            <w:shd w:val="clear" w:color="auto" w:fill="auto"/>
          </w:tcPr>
          <w:p w14:paraId="3F66E51F"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830" w:type="dxa"/>
            <w:shd w:val="clear" w:color="auto" w:fill="auto"/>
          </w:tcPr>
          <w:p w14:paraId="6970A0F7"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r>
      <w:tr w:rsidR="000B33ED" w:rsidRPr="000B33ED" w14:paraId="1BF3F830" w14:textId="77777777" w:rsidTr="005C1394">
        <w:trPr>
          <w:trHeight w:val="279"/>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369AEDAC" w14:textId="77777777" w:rsidR="000B33ED" w:rsidRPr="000B33ED" w:rsidRDefault="000B33ED" w:rsidP="00154FCA">
            <w:pPr>
              <w:jc w:val="both"/>
              <w:rPr>
                <w:rFonts w:asciiTheme="minorHAnsi" w:hAnsiTheme="minorHAnsi" w:cstheme="minorHAnsi"/>
                <w:sz w:val="20"/>
                <w:szCs w:val="20"/>
                <w:lang w:val="en-MY"/>
              </w:rPr>
            </w:pPr>
            <w:r w:rsidRPr="000B33ED">
              <w:rPr>
                <w:rFonts w:asciiTheme="minorHAnsi" w:hAnsiTheme="minorHAnsi" w:cstheme="minorHAnsi"/>
                <w:sz w:val="20"/>
                <w:szCs w:val="20"/>
                <w:lang w:val="en-MY"/>
              </w:rPr>
              <w:t xml:space="preserve">-10% </w:t>
            </w:r>
          </w:p>
        </w:tc>
        <w:tc>
          <w:tcPr>
            <w:tcW w:w="721" w:type="dxa"/>
            <w:shd w:val="clear" w:color="auto" w:fill="auto"/>
          </w:tcPr>
          <w:p w14:paraId="709CAF95"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0.756</w:t>
            </w:r>
          </w:p>
          <w:p w14:paraId="4608C7A3"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0.594</w:t>
            </w:r>
          </w:p>
        </w:tc>
        <w:tc>
          <w:tcPr>
            <w:tcW w:w="1453" w:type="dxa"/>
            <w:shd w:val="clear" w:color="auto" w:fill="auto"/>
          </w:tcPr>
          <w:p w14:paraId="59DF9041"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95</w:t>
            </w:r>
          </w:p>
        </w:tc>
        <w:tc>
          <w:tcPr>
            <w:tcW w:w="1168" w:type="dxa"/>
            <w:shd w:val="clear" w:color="auto" w:fill="auto"/>
          </w:tcPr>
          <w:p w14:paraId="70ADF7DC"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0.105</w:t>
            </w:r>
          </w:p>
        </w:tc>
        <w:tc>
          <w:tcPr>
            <w:tcW w:w="990" w:type="dxa"/>
            <w:shd w:val="clear" w:color="auto" w:fill="auto"/>
          </w:tcPr>
          <w:p w14:paraId="5D0AA27D"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0.142</w:t>
            </w:r>
          </w:p>
        </w:tc>
        <w:tc>
          <w:tcPr>
            <w:tcW w:w="1080" w:type="dxa"/>
            <w:shd w:val="clear" w:color="auto" w:fill="auto"/>
          </w:tcPr>
          <w:p w14:paraId="7C088114"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0.119</w:t>
            </w:r>
          </w:p>
        </w:tc>
        <w:tc>
          <w:tcPr>
            <w:tcW w:w="1170" w:type="dxa"/>
            <w:shd w:val="clear" w:color="auto" w:fill="auto"/>
          </w:tcPr>
          <w:p w14:paraId="6D4CDD24"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0.073</w:t>
            </w:r>
          </w:p>
        </w:tc>
        <w:tc>
          <w:tcPr>
            <w:tcW w:w="830" w:type="dxa"/>
            <w:shd w:val="clear" w:color="auto" w:fill="auto"/>
          </w:tcPr>
          <w:p w14:paraId="38CC981A"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0.353</w:t>
            </w:r>
          </w:p>
        </w:tc>
      </w:tr>
      <w:tr w:rsidR="000B33ED" w:rsidRPr="000B33ED" w14:paraId="78C2C3D3"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7984FBA3"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7DB690E0"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5FE0DA88"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80</w:t>
            </w:r>
          </w:p>
        </w:tc>
        <w:tc>
          <w:tcPr>
            <w:tcW w:w="1168" w:type="dxa"/>
            <w:shd w:val="clear" w:color="auto" w:fill="auto"/>
          </w:tcPr>
          <w:p w14:paraId="502C88A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0.089</w:t>
            </w:r>
          </w:p>
        </w:tc>
        <w:tc>
          <w:tcPr>
            <w:tcW w:w="990" w:type="dxa"/>
            <w:shd w:val="clear" w:color="auto" w:fill="auto"/>
          </w:tcPr>
          <w:p w14:paraId="5783EC39"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0.119</w:t>
            </w:r>
          </w:p>
        </w:tc>
        <w:tc>
          <w:tcPr>
            <w:tcW w:w="1080" w:type="dxa"/>
            <w:shd w:val="clear" w:color="auto" w:fill="auto"/>
          </w:tcPr>
          <w:p w14:paraId="7B0A3A51"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0.100</w:t>
            </w:r>
          </w:p>
        </w:tc>
        <w:tc>
          <w:tcPr>
            <w:tcW w:w="1170" w:type="dxa"/>
            <w:shd w:val="clear" w:color="auto" w:fill="auto"/>
          </w:tcPr>
          <w:p w14:paraId="526C400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0.062</w:t>
            </w:r>
          </w:p>
        </w:tc>
        <w:tc>
          <w:tcPr>
            <w:tcW w:w="830" w:type="dxa"/>
            <w:shd w:val="clear" w:color="auto" w:fill="auto"/>
          </w:tcPr>
          <w:p w14:paraId="1DE1C15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0.294</w:t>
            </w:r>
          </w:p>
        </w:tc>
      </w:tr>
      <w:tr w:rsidR="000B33ED" w:rsidRPr="000B33ED" w14:paraId="2375BCBC"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62DF6FB5"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30CD6EE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5424B9A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50</w:t>
            </w:r>
          </w:p>
        </w:tc>
        <w:tc>
          <w:tcPr>
            <w:tcW w:w="1168" w:type="dxa"/>
            <w:shd w:val="clear" w:color="auto" w:fill="auto"/>
          </w:tcPr>
          <w:p w14:paraId="1FF35A25"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0.055</w:t>
            </w:r>
          </w:p>
        </w:tc>
        <w:tc>
          <w:tcPr>
            <w:tcW w:w="990" w:type="dxa"/>
            <w:shd w:val="clear" w:color="auto" w:fill="auto"/>
          </w:tcPr>
          <w:p w14:paraId="55D5F76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0.075</w:t>
            </w:r>
          </w:p>
        </w:tc>
        <w:tc>
          <w:tcPr>
            <w:tcW w:w="1080" w:type="dxa"/>
            <w:shd w:val="clear" w:color="auto" w:fill="auto"/>
          </w:tcPr>
          <w:p w14:paraId="0C824DCC"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0.063</w:t>
            </w:r>
          </w:p>
        </w:tc>
        <w:tc>
          <w:tcPr>
            <w:tcW w:w="1170" w:type="dxa"/>
            <w:shd w:val="clear" w:color="auto" w:fill="auto"/>
          </w:tcPr>
          <w:p w14:paraId="7DEF30D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0.039</w:t>
            </w:r>
          </w:p>
        </w:tc>
        <w:tc>
          <w:tcPr>
            <w:tcW w:w="830" w:type="dxa"/>
            <w:shd w:val="clear" w:color="auto" w:fill="auto"/>
          </w:tcPr>
          <w:p w14:paraId="5C32C9D4"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0.278</w:t>
            </w:r>
          </w:p>
        </w:tc>
      </w:tr>
      <w:tr w:rsidR="000B33ED" w:rsidRPr="000B33ED" w14:paraId="08F65C9F"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76D62F4B"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11E13687"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07F58A4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20</w:t>
            </w:r>
          </w:p>
        </w:tc>
        <w:tc>
          <w:tcPr>
            <w:tcW w:w="1168" w:type="dxa"/>
            <w:shd w:val="clear" w:color="auto" w:fill="auto"/>
          </w:tcPr>
          <w:p w14:paraId="71C65FDE"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0.022</w:t>
            </w:r>
          </w:p>
        </w:tc>
        <w:tc>
          <w:tcPr>
            <w:tcW w:w="990" w:type="dxa"/>
            <w:shd w:val="clear" w:color="auto" w:fill="auto"/>
          </w:tcPr>
          <w:p w14:paraId="6258A99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0.03</w:t>
            </w:r>
          </w:p>
        </w:tc>
        <w:tc>
          <w:tcPr>
            <w:tcW w:w="1080" w:type="dxa"/>
            <w:shd w:val="clear" w:color="auto" w:fill="auto"/>
          </w:tcPr>
          <w:p w14:paraId="7E6E7C30"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0.025</w:t>
            </w:r>
          </w:p>
        </w:tc>
        <w:tc>
          <w:tcPr>
            <w:tcW w:w="1170" w:type="dxa"/>
            <w:shd w:val="clear" w:color="auto" w:fill="auto"/>
          </w:tcPr>
          <w:p w14:paraId="6F9F2D1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0.016</w:t>
            </w:r>
          </w:p>
        </w:tc>
        <w:tc>
          <w:tcPr>
            <w:tcW w:w="830" w:type="dxa"/>
            <w:shd w:val="clear" w:color="auto" w:fill="auto"/>
          </w:tcPr>
          <w:p w14:paraId="48914AF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0.272</w:t>
            </w:r>
          </w:p>
        </w:tc>
      </w:tr>
      <w:tr w:rsidR="000B33ED" w:rsidRPr="000B33ED" w14:paraId="5CEDC4C4"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6E4C06A4" w14:textId="0ACB394D"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75A7BB55"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3ECAB287"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168" w:type="dxa"/>
            <w:shd w:val="clear" w:color="auto" w:fill="auto"/>
          </w:tcPr>
          <w:p w14:paraId="012FA842"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990" w:type="dxa"/>
            <w:shd w:val="clear" w:color="auto" w:fill="auto"/>
          </w:tcPr>
          <w:p w14:paraId="1C569CD5"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080" w:type="dxa"/>
            <w:shd w:val="clear" w:color="auto" w:fill="auto"/>
          </w:tcPr>
          <w:p w14:paraId="41CB5B57"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170" w:type="dxa"/>
            <w:shd w:val="clear" w:color="auto" w:fill="auto"/>
          </w:tcPr>
          <w:p w14:paraId="317BF448"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830" w:type="dxa"/>
            <w:shd w:val="clear" w:color="auto" w:fill="auto"/>
          </w:tcPr>
          <w:p w14:paraId="7B573DE0"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r>
      <w:tr w:rsidR="000B33ED" w:rsidRPr="000B33ED" w14:paraId="28572302"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28A27FED" w14:textId="77777777" w:rsidR="000B33ED" w:rsidRPr="000B33ED" w:rsidRDefault="000B33ED" w:rsidP="00154FCA">
            <w:pPr>
              <w:jc w:val="both"/>
              <w:rPr>
                <w:rFonts w:asciiTheme="minorHAnsi" w:hAnsiTheme="minorHAnsi" w:cstheme="minorHAnsi"/>
                <w:sz w:val="20"/>
                <w:szCs w:val="20"/>
                <w:lang w:val="en-MY"/>
              </w:rPr>
            </w:pPr>
            <w:r w:rsidRPr="000B33ED">
              <w:rPr>
                <w:rFonts w:asciiTheme="minorHAnsi" w:hAnsiTheme="minorHAnsi" w:cstheme="minorHAnsi"/>
                <w:sz w:val="20"/>
                <w:szCs w:val="20"/>
                <w:lang w:val="en-MY"/>
              </w:rPr>
              <w:t>-5%</w:t>
            </w:r>
          </w:p>
        </w:tc>
        <w:tc>
          <w:tcPr>
            <w:tcW w:w="721" w:type="dxa"/>
            <w:shd w:val="clear" w:color="auto" w:fill="auto"/>
          </w:tcPr>
          <w:p w14:paraId="7D127013"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0.783</w:t>
            </w:r>
          </w:p>
          <w:p w14:paraId="476285F5"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0.627</w:t>
            </w:r>
          </w:p>
        </w:tc>
        <w:tc>
          <w:tcPr>
            <w:tcW w:w="1453" w:type="dxa"/>
            <w:shd w:val="clear" w:color="auto" w:fill="auto"/>
          </w:tcPr>
          <w:p w14:paraId="29B9E7FD"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95</w:t>
            </w:r>
          </w:p>
        </w:tc>
        <w:tc>
          <w:tcPr>
            <w:tcW w:w="1168" w:type="dxa"/>
            <w:shd w:val="clear" w:color="auto" w:fill="auto"/>
          </w:tcPr>
          <w:p w14:paraId="5C05A289"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0.105</w:t>
            </w:r>
          </w:p>
        </w:tc>
        <w:tc>
          <w:tcPr>
            <w:tcW w:w="990" w:type="dxa"/>
            <w:shd w:val="clear" w:color="auto" w:fill="auto"/>
          </w:tcPr>
          <w:p w14:paraId="5F394280"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0.148</w:t>
            </w:r>
          </w:p>
        </w:tc>
        <w:tc>
          <w:tcPr>
            <w:tcW w:w="1080" w:type="dxa"/>
            <w:shd w:val="clear" w:color="auto" w:fill="auto"/>
          </w:tcPr>
          <w:p w14:paraId="32B91572"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0.124</w:t>
            </w:r>
          </w:p>
        </w:tc>
        <w:tc>
          <w:tcPr>
            <w:tcW w:w="1170" w:type="dxa"/>
            <w:shd w:val="clear" w:color="auto" w:fill="auto"/>
          </w:tcPr>
          <w:p w14:paraId="0178944E"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0.243</w:t>
            </w:r>
          </w:p>
        </w:tc>
        <w:tc>
          <w:tcPr>
            <w:tcW w:w="830" w:type="dxa"/>
            <w:shd w:val="clear" w:color="auto" w:fill="auto"/>
          </w:tcPr>
          <w:p w14:paraId="09DE184E"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0.676</w:t>
            </w:r>
          </w:p>
        </w:tc>
      </w:tr>
      <w:tr w:rsidR="000B33ED" w:rsidRPr="000B33ED" w14:paraId="296E0260"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31E6CB52"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7E12E4D6"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35E1D85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80</w:t>
            </w:r>
          </w:p>
        </w:tc>
        <w:tc>
          <w:tcPr>
            <w:tcW w:w="1168" w:type="dxa"/>
            <w:shd w:val="clear" w:color="auto" w:fill="auto"/>
          </w:tcPr>
          <w:p w14:paraId="34358E1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0.089</w:t>
            </w:r>
          </w:p>
        </w:tc>
        <w:tc>
          <w:tcPr>
            <w:tcW w:w="990" w:type="dxa"/>
            <w:shd w:val="clear" w:color="auto" w:fill="auto"/>
          </w:tcPr>
          <w:p w14:paraId="05991EAA"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0.125</w:t>
            </w:r>
          </w:p>
        </w:tc>
        <w:tc>
          <w:tcPr>
            <w:tcW w:w="1080" w:type="dxa"/>
            <w:shd w:val="clear" w:color="auto" w:fill="auto"/>
          </w:tcPr>
          <w:p w14:paraId="5E3A2178"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0.105</w:t>
            </w:r>
          </w:p>
        </w:tc>
        <w:tc>
          <w:tcPr>
            <w:tcW w:w="1170" w:type="dxa"/>
            <w:shd w:val="clear" w:color="auto" w:fill="auto"/>
          </w:tcPr>
          <w:p w14:paraId="7722DDE5"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0.205</w:t>
            </w:r>
          </w:p>
        </w:tc>
        <w:tc>
          <w:tcPr>
            <w:tcW w:w="830" w:type="dxa"/>
            <w:shd w:val="clear" w:color="auto" w:fill="auto"/>
          </w:tcPr>
          <w:p w14:paraId="0FA78A36"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0.677</w:t>
            </w:r>
          </w:p>
        </w:tc>
      </w:tr>
      <w:tr w:rsidR="000B33ED" w:rsidRPr="000B33ED" w14:paraId="3C17AAA9"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7C5DDEA9"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3833E5A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39FE96B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50</w:t>
            </w:r>
          </w:p>
        </w:tc>
        <w:tc>
          <w:tcPr>
            <w:tcW w:w="1168" w:type="dxa"/>
            <w:shd w:val="clear" w:color="auto" w:fill="auto"/>
          </w:tcPr>
          <w:p w14:paraId="76E953F4" w14:textId="37818144"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0.056</w:t>
            </w:r>
          </w:p>
        </w:tc>
        <w:tc>
          <w:tcPr>
            <w:tcW w:w="990" w:type="dxa"/>
            <w:shd w:val="clear" w:color="auto" w:fill="auto"/>
          </w:tcPr>
          <w:p w14:paraId="7046B78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0.078</w:t>
            </w:r>
          </w:p>
        </w:tc>
        <w:tc>
          <w:tcPr>
            <w:tcW w:w="1080" w:type="dxa"/>
            <w:shd w:val="clear" w:color="auto" w:fill="auto"/>
          </w:tcPr>
          <w:p w14:paraId="63FC2BBB"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0.08</w:t>
            </w:r>
          </w:p>
        </w:tc>
        <w:tc>
          <w:tcPr>
            <w:tcW w:w="1170" w:type="dxa"/>
            <w:shd w:val="clear" w:color="auto" w:fill="auto"/>
          </w:tcPr>
          <w:p w14:paraId="5C2695D9"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0.128</w:t>
            </w:r>
          </w:p>
        </w:tc>
        <w:tc>
          <w:tcPr>
            <w:tcW w:w="830" w:type="dxa"/>
            <w:shd w:val="clear" w:color="auto" w:fill="auto"/>
          </w:tcPr>
          <w:p w14:paraId="4F4F9BC5"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0.860</w:t>
            </w:r>
          </w:p>
        </w:tc>
      </w:tr>
      <w:tr w:rsidR="000B33ED" w:rsidRPr="000B33ED" w14:paraId="111CBC95"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72FAE3EB"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1E069600"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7DB53991"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20</w:t>
            </w:r>
          </w:p>
        </w:tc>
        <w:tc>
          <w:tcPr>
            <w:tcW w:w="1168" w:type="dxa"/>
            <w:shd w:val="clear" w:color="auto" w:fill="auto"/>
          </w:tcPr>
          <w:p w14:paraId="2C6E5907" w14:textId="3161E723"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24372F">
              <w:rPr>
                <w:rFonts w:cs="Times New Roman"/>
                <w:noProof/>
                <w:sz w:val="24"/>
                <w:szCs w:val="24"/>
                <w:lang w:val="en-MY"/>
              </w:rPr>
              <mc:AlternateContent>
                <mc:Choice Requires="wpg">
                  <w:drawing>
                    <wp:anchor distT="0" distB="0" distL="114300" distR="114300" simplePos="0" relativeHeight="251670528" behindDoc="0" locked="0" layoutInCell="1" allowOverlap="1" wp14:anchorId="62DD1446" wp14:editId="1A46E8EF">
                      <wp:simplePos x="0" y="0"/>
                      <wp:positionH relativeFrom="column">
                        <wp:posOffset>-2076273</wp:posOffset>
                      </wp:positionH>
                      <wp:positionV relativeFrom="paragraph">
                        <wp:posOffset>-631397</wp:posOffset>
                      </wp:positionV>
                      <wp:extent cx="5344795" cy="615315"/>
                      <wp:effectExtent l="0" t="0" r="27305" b="13335"/>
                      <wp:wrapNone/>
                      <wp:docPr id="19" name="Group 19"/>
                      <wp:cNvGraphicFramePr/>
                      <a:graphic xmlns:a="http://schemas.openxmlformats.org/drawingml/2006/main">
                        <a:graphicData uri="http://schemas.microsoft.com/office/word/2010/wordprocessingGroup">
                          <wpg:wgp>
                            <wpg:cNvGrpSpPr/>
                            <wpg:grpSpPr>
                              <a:xfrm>
                                <a:off x="0" y="0"/>
                                <a:ext cx="5344795" cy="615315"/>
                                <a:chOff x="0" y="0"/>
                                <a:chExt cx="5344795" cy="615315"/>
                              </a:xfrm>
                            </wpg:grpSpPr>
                            <wps:wsp>
                              <wps:cNvPr id="15" name="Rectangle 15"/>
                              <wps:cNvSpPr/>
                              <wps:spPr>
                                <a:xfrm>
                                  <a:off x="1133475" y="447675"/>
                                  <a:ext cx="4211320" cy="167640"/>
                                </a:xfrm>
                                <a:prstGeom prst="rect">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0"/>
                                  <a:ext cx="1149927" cy="444500"/>
                                </a:xfrm>
                                <a:prstGeom prst="rect">
                                  <a:avLst/>
                                </a:prstGeom>
                                <a:noFill/>
                                <a:ln>
                                  <a:solidFill>
                                    <a:srgbClr val="FF0000"/>
                                  </a:solidFill>
                                  <a:prstDash val="dash"/>
                                  <a:extLst>
                                    <a:ext uri="{C807C97D-BFC1-408E-A445-0C87EB9F89A2}">
                                      <ask:lineSketchStyleProps xmlns:ask="http://schemas.microsoft.com/office/drawing/2018/sketchyshapes" sd="2166223669">
                                        <a:custGeom>
                                          <a:avLst/>
                                          <a:gdLst>
                                            <a:gd name="connsiteX0" fmla="*/ 0 w 1149927"/>
                                            <a:gd name="connsiteY0" fmla="*/ 0 h 581891"/>
                                            <a:gd name="connsiteX1" fmla="*/ 1149927 w 1149927"/>
                                            <a:gd name="connsiteY1" fmla="*/ 0 h 581891"/>
                                            <a:gd name="connsiteX2" fmla="*/ 1149927 w 1149927"/>
                                            <a:gd name="connsiteY2" fmla="*/ 581891 h 581891"/>
                                            <a:gd name="connsiteX3" fmla="*/ 0 w 1149927"/>
                                            <a:gd name="connsiteY3" fmla="*/ 581891 h 581891"/>
                                            <a:gd name="connsiteX4" fmla="*/ 0 w 1149927"/>
                                            <a:gd name="connsiteY4" fmla="*/ 0 h 5818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9927" h="581891" extrusionOk="0">
                                              <a:moveTo>
                                                <a:pt x="0" y="0"/>
                                              </a:moveTo>
                                              <a:cubicBezTo>
                                                <a:pt x="429311" y="8318"/>
                                                <a:pt x="884571" y="74536"/>
                                                <a:pt x="1149927" y="0"/>
                                              </a:cubicBezTo>
                                              <a:cubicBezTo>
                                                <a:pt x="1153602" y="257703"/>
                                                <a:pt x="1160238" y="422729"/>
                                                <a:pt x="1149927" y="581891"/>
                                              </a:cubicBezTo>
                                              <a:cubicBezTo>
                                                <a:pt x="945647" y="654347"/>
                                                <a:pt x="344166" y="565409"/>
                                                <a:pt x="0" y="581891"/>
                                              </a:cubicBezTo>
                                              <a:cubicBezTo>
                                                <a:pt x="-23645" y="387790"/>
                                                <a:pt x="-6624" y="138916"/>
                                                <a:pt x="0" y="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45E4DF" id="Group 19" o:spid="_x0000_s1026" style="position:absolute;margin-left:-163.5pt;margin-top:-49.7pt;width:420.85pt;height:48.45pt;z-index:251670528" coordsize="53447,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">
                      <v:rect id="Rectangle 15" o:spid="_x0000_s1027" style="position:absolute;left:11334;top:4476;width:42113;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" filled="f" strokecolor="red" strokeweight="2pt"/>
                      <v:rect id="Rectangle 16" o:spid="_x0000_s1028" style="position:absolute;width:1149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" filled="f" strokecolor="red" strokeweight="2pt">
                        <v:stroke dashstyle="dash"/>
                      </v:rect>
                    </v:group>
                  </w:pict>
                </mc:Fallback>
              </mc:AlternateContent>
            </w:r>
            <w:r w:rsidRPr="000B33ED">
              <w:rPr>
                <w:rFonts w:cstheme="minorHAnsi"/>
                <w:sz w:val="20"/>
                <w:szCs w:val="20"/>
                <w:lang w:val="en-MY"/>
              </w:rPr>
              <w:t>0.022</w:t>
            </w:r>
          </w:p>
        </w:tc>
        <w:tc>
          <w:tcPr>
            <w:tcW w:w="990" w:type="dxa"/>
            <w:shd w:val="clear" w:color="auto" w:fill="auto"/>
          </w:tcPr>
          <w:p w14:paraId="205A2402"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0.031</w:t>
            </w:r>
          </w:p>
        </w:tc>
        <w:tc>
          <w:tcPr>
            <w:tcW w:w="1080" w:type="dxa"/>
            <w:shd w:val="clear" w:color="auto" w:fill="auto"/>
          </w:tcPr>
          <w:p w14:paraId="3D2418A0"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0.026</w:t>
            </w:r>
          </w:p>
        </w:tc>
        <w:tc>
          <w:tcPr>
            <w:tcW w:w="1170" w:type="dxa"/>
            <w:shd w:val="clear" w:color="auto" w:fill="auto"/>
          </w:tcPr>
          <w:p w14:paraId="2CD178E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0.051</w:t>
            </w:r>
          </w:p>
        </w:tc>
        <w:tc>
          <w:tcPr>
            <w:tcW w:w="830" w:type="dxa"/>
            <w:shd w:val="clear" w:color="auto" w:fill="auto"/>
          </w:tcPr>
          <w:p w14:paraId="7B19353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0.672</w:t>
            </w:r>
          </w:p>
        </w:tc>
      </w:tr>
      <w:tr w:rsidR="000B33ED" w:rsidRPr="000B33ED" w14:paraId="1EACAA44"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167B5C00"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15852480"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2FD5F45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168" w:type="dxa"/>
            <w:shd w:val="clear" w:color="auto" w:fill="auto"/>
          </w:tcPr>
          <w:p w14:paraId="3E0B0C5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990" w:type="dxa"/>
            <w:shd w:val="clear" w:color="auto" w:fill="auto"/>
          </w:tcPr>
          <w:p w14:paraId="48E52691"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080" w:type="dxa"/>
            <w:shd w:val="clear" w:color="auto" w:fill="auto"/>
          </w:tcPr>
          <w:p w14:paraId="1A05750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170" w:type="dxa"/>
            <w:shd w:val="clear" w:color="auto" w:fill="auto"/>
          </w:tcPr>
          <w:p w14:paraId="5E6733AE"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830" w:type="dxa"/>
            <w:shd w:val="clear" w:color="auto" w:fill="auto"/>
          </w:tcPr>
          <w:p w14:paraId="38368582"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r>
      <w:tr w:rsidR="000B33ED" w:rsidRPr="000B33ED" w14:paraId="34AAB1E4"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610CA49B" w14:textId="77777777" w:rsidR="000B33ED" w:rsidRPr="000B33ED" w:rsidRDefault="000B33ED" w:rsidP="00154FCA">
            <w:pPr>
              <w:jc w:val="both"/>
              <w:rPr>
                <w:rFonts w:asciiTheme="minorHAnsi" w:hAnsiTheme="minorHAnsi" w:cstheme="minorHAnsi"/>
                <w:sz w:val="20"/>
                <w:szCs w:val="20"/>
                <w:lang w:val="en-MY"/>
              </w:rPr>
            </w:pPr>
            <w:r w:rsidRPr="000B33ED">
              <w:rPr>
                <w:rFonts w:asciiTheme="minorHAnsi" w:hAnsiTheme="minorHAnsi" w:cstheme="minorHAnsi"/>
                <w:sz w:val="20"/>
                <w:szCs w:val="20"/>
                <w:lang w:val="en-MY"/>
              </w:rPr>
              <w:t>-2%</w:t>
            </w:r>
          </w:p>
        </w:tc>
        <w:tc>
          <w:tcPr>
            <w:tcW w:w="721" w:type="dxa"/>
            <w:shd w:val="clear" w:color="auto" w:fill="auto"/>
          </w:tcPr>
          <w:p w14:paraId="3D13A719"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0.809</w:t>
            </w:r>
          </w:p>
          <w:p w14:paraId="35FE4D4A"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0.647</w:t>
            </w:r>
          </w:p>
        </w:tc>
        <w:tc>
          <w:tcPr>
            <w:tcW w:w="1453" w:type="dxa"/>
            <w:shd w:val="clear" w:color="auto" w:fill="auto"/>
          </w:tcPr>
          <w:p w14:paraId="77E7D63D"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95</w:t>
            </w:r>
          </w:p>
        </w:tc>
        <w:tc>
          <w:tcPr>
            <w:tcW w:w="1168" w:type="dxa"/>
            <w:shd w:val="clear" w:color="auto" w:fill="auto"/>
          </w:tcPr>
          <w:p w14:paraId="1412D182"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0.105</w:t>
            </w:r>
          </w:p>
        </w:tc>
        <w:tc>
          <w:tcPr>
            <w:tcW w:w="990" w:type="dxa"/>
            <w:shd w:val="clear" w:color="auto" w:fill="auto"/>
          </w:tcPr>
          <w:p w14:paraId="30FC18B5"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0.154</w:t>
            </w:r>
          </w:p>
        </w:tc>
        <w:tc>
          <w:tcPr>
            <w:tcW w:w="1080" w:type="dxa"/>
            <w:shd w:val="clear" w:color="auto" w:fill="auto"/>
          </w:tcPr>
          <w:p w14:paraId="524C9F3C"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0.744</w:t>
            </w:r>
          </w:p>
        </w:tc>
        <w:tc>
          <w:tcPr>
            <w:tcW w:w="1170" w:type="dxa"/>
            <w:shd w:val="clear" w:color="auto" w:fill="auto"/>
          </w:tcPr>
          <w:p w14:paraId="6085A593"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0.247</w:t>
            </w:r>
          </w:p>
        </w:tc>
        <w:tc>
          <w:tcPr>
            <w:tcW w:w="830" w:type="dxa"/>
            <w:shd w:val="clear" w:color="auto" w:fill="auto"/>
          </w:tcPr>
          <w:p w14:paraId="022DDE02"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0.1995</w:t>
            </w:r>
          </w:p>
        </w:tc>
      </w:tr>
      <w:tr w:rsidR="000B33ED" w:rsidRPr="000B33ED" w14:paraId="7519559F"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13775665"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643A0DA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222A728C"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80</w:t>
            </w:r>
          </w:p>
        </w:tc>
        <w:tc>
          <w:tcPr>
            <w:tcW w:w="1168" w:type="dxa"/>
            <w:shd w:val="clear" w:color="auto" w:fill="auto"/>
          </w:tcPr>
          <w:p w14:paraId="5179252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0.089</w:t>
            </w:r>
          </w:p>
        </w:tc>
        <w:tc>
          <w:tcPr>
            <w:tcW w:w="990" w:type="dxa"/>
            <w:shd w:val="clear" w:color="auto" w:fill="auto"/>
          </w:tcPr>
          <w:p w14:paraId="2F92F6CD"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0.130</w:t>
            </w:r>
          </w:p>
        </w:tc>
        <w:tc>
          <w:tcPr>
            <w:tcW w:w="1080" w:type="dxa"/>
            <w:shd w:val="clear" w:color="auto" w:fill="auto"/>
          </w:tcPr>
          <w:p w14:paraId="3412E1B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0.626</w:t>
            </w:r>
          </w:p>
        </w:tc>
        <w:tc>
          <w:tcPr>
            <w:tcW w:w="1170" w:type="dxa"/>
            <w:shd w:val="clear" w:color="auto" w:fill="auto"/>
          </w:tcPr>
          <w:p w14:paraId="536977F4"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0.208</w:t>
            </w:r>
          </w:p>
        </w:tc>
        <w:tc>
          <w:tcPr>
            <w:tcW w:w="830" w:type="dxa"/>
            <w:shd w:val="clear" w:color="auto" w:fill="auto"/>
          </w:tcPr>
          <w:p w14:paraId="102BA303"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0.200</w:t>
            </w:r>
          </w:p>
        </w:tc>
      </w:tr>
      <w:tr w:rsidR="000B33ED" w:rsidRPr="000B33ED" w14:paraId="2474CF44" w14:textId="77777777" w:rsidTr="005C1394">
        <w:trPr>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67F6A30E"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7BDA384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p>
        </w:tc>
        <w:tc>
          <w:tcPr>
            <w:tcW w:w="1453" w:type="dxa"/>
            <w:shd w:val="clear" w:color="auto" w:fill="auto"/>
          </w:tcPr>
          <w:p w14:paraId="7DAF21E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50</w:t>
            </w:r>
          </w:p>
        </w:tc>
        <w:tc>
          <w:tcPr>
            <w:tcW w:w="1168" w:type="dxa"/>
            <w:shd w:val="clear" w:color="auto" w:fill="auto"/>
          </w:tcPr>
          <w:p w14:paraId="42B5DC1D"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0.0555</w:t>
            </w:r>
          </w:p>
        </w:tc>
        <w:tc>
          <w:tcPr>
            <w:tcW w:w="990" w:type="dxa"/>
            <w:shd w:val="clear" w:color="auto" w:fill="auto"/>
          </w:tcPr>
          <w:p w14:paraId="55CA1BFA"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0.081</w:t>
            </w:r>
          </w:p>
        </w:tc>
        <w:tc>
          <w:tcPr>
            <w:tcW w:w="1080" w:type="dxa"/>
            <w:shd w:val="clear" w:color="auto" w:fill="auto"/>
          </w:tcPr>
          <w:p w14:paraId="45A01EAF"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0.392</w:t>
            </w:r>
          </w:p>
        </w:tc>
        <w:tc>
          <w:tcPr>
            <w:tcW w:w="1170" w:type="dxa"/>
            <w:shd w:val="clear" w:color="auto" w:fill="auto"/>
          </w:tcPr>
          <w:p w14:paraId="2AC609C0"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0.130</w:t>
            </w:r>
          </w:p>
        </w:tc>
        <w:tc>
          <w:tcPr>
            <w:tcW w:w="830" w:type="dxa"/>
            <w:shd w:val="clear" w:color="auto" w:fill="auto"/>
          </w:tcPr>
          <w:p w14:paraId="0A70CCFD" w14:textId="77777777" w:rsidR="000B33ED" w:rsidRPr="000B33ED" w:rsidRDefault="000B33ED" w:rsidP="00154F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MY"/>
              </w:rPr>
            </w:pPr>
            <w:r w:rsidRPr="000B33ED">
              <w:rPr>
                <w:rFonts w:cstheme="minorHAnsi"/>
                <w:sz w:val="20"/>
                <w:szCs w:val="20"/>
                <w:lang w:val="en-MY"/>
              </w:rPr>
              <w:t>0.200</w:t>
            </w:r>
          </w:p>
        </w:tc>
      </w:tr>
      <w:tr w:rsidR="000B33ED" w:rsidRPr="000B33ED" w14:paraId="4306B434" w14:textId="77777777" w:rsidTr="005C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Borders>
              <w:right w:val="none" w:sz="0" w:space="0" w:color="auto"/>
            </w:tcBorders>
            <w:shd w:val="clear" w:color="auto" w:fill="auto"/>
          </w:tcPr>
          <w:p w14:paraId="304036E0" w14:textId="77777777" w:rsidR="000B33ED" w:rsidRPr="000B33ED" w:rsidRDefault="000B33ED" w:rsidP="00154FCA">
            <w:pPr>
              <w:jc w:val="both"/>
              <w:rPr>
                <w:rFonts w:asciiTheme="minorHAnsi" w:hAnsiTheme="minorHAnsi" w:cstheme="minorHAnsi"/>
                <w:sz w:val="20"/>
                <w:szCs w:val="20"/>
                <w:lang w:val="en-MY"/>
              </w:rPr>
            </w:pPr>
          </w:p>
        </w:tc>
        <w:tc>
          <w:tcPr>
            <w:tcW w:w="721" w:type="dxa"/>
            <w:shd w:val="clear" w:color="auto" w:fill="auto"/>
          </w:tcPr>
          <w:p w14:paraId="2A85FAAE"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p>
        </w:tc>
        <w:tc>
          <w:tcPr>
            <w:tcW w:w="1453" w:type="dxa"/>
            <w:shd w:val="clear" w:color="auto" w:fill="auto"/>
          </w:tcPr>
          <w:p w14:paraId="70EEADBD"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20</w:t>
            </w:r>
          </w:p>
        </w:tc>
        <w:tc>
          <w:tcPr>
            <w:tcW w:w="1168" w:type="dxa"/>
            <w:shd w:val="clear" w:color="auto" w:fill="auto"/>
          </w:tcPr>
          <w:p w14:paraId="0F8C254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0.0222</w:t>
            </w:r>
          </w:p>
        </w:tc>
        <w:tc>
          <w:tcPr>
            <w:tcW w:w="990" w:type="dxa"/>
            <w:shd w:val="clear" w:color="auto" w:fill="auto"/>
          </w:tcPr>
          <w:p w14:paraId="0E7E9A6A"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0.032</w:t>
            </w:r>
          </w:p>
        </w:tc>
        <w:tc>
          <w:tcPr>
            <w:tcW w:w="1080" w:type="dxa"/>
            <w:shd w:val="clear" w:color="auto" w:fill="auto"/>
          </w:tcPr>
          <w:p w14:paraId="29F69FE3"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0.157</w:t>
            </w:r>
          </w:p>
        </w:tc>
        <w:tc>
          <w:tcPr>
            <w:tcW w:w="1170" w:type="dxa"/>
            <w:shd w:val="clear" w:color="auto" w:fill="auto"/>
          </w:tcPr>
          <w:p w14:paraId="756096F6"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0.052</w:t>
            </w:r>
          </w:p>
        </w:tc>
        <w:tc>
          <w:tcPr>
            <w:tcW w:w="830" w:type="dxa"/>
            <w:shd w:val="clear" w:color="auto" w:fill="auto"/>
          </w:tcPr>
          <w:p w14:paraId="158C50DC" w14:textId="77777777" w:rsidR="000B33ED" w:rsidRPr="000B33ED" w:rsidRDefault="000B33ED" w:rsidP="00154F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MY"/>
              </w:rPr>
            </w:pPr>
            <w:r w:rsidRPr="000B33ED">
              <w:rPr>
                <w:rFonts w:cstheme="minorHAnsi"/>
                <w:sz w:val="20"/>
                <w:szCs w:val="20"/>
                <w:lang w:val="en-MY"/>
              </w:rPr>
              <w:t>0.199</w:t>
            </w:r>
          </w:p>
        </w:tc>
      </w:tr>
      <w:bookmarkEnd w:id="6"/>
    </w:tbl>
    <w:p w14:paraId="64AF492C" w14:textId="77777777" w:rsidR="000B33ED" w:rsidRPr="0024372F" w:rsidRDefault="000B33ED" w:rsidP="000B33ED">
      <w:pPr>
        <w:pStyle w:val="A"/>
        <w:ind w:firstLine="0"/>
      </w:pPr>
    </w:p>
    <w:p w14:paraId="2810F950" w14:textId="1E41C689" w:rsidR="0024372F" w:rsidRPr="0024372F" w:rsidRDefault="0024372F" w:rsidP="000B33ED">
      <w:pPr>
        <w:pStyle w:val="A"/>
      </w:pPr>
      <w:r w:rsidRPr="0024372F">
        <w:t xml:space="preserve">Consequently, the CEE experiment test results demonstrated that the spectral wavelengths with decreasing values of -5% and 50% image enhancement had a greater </w:t>
      </w:r>
      <w:r w:rsidRPr="0024372F">
        <w:rPr>
          <w:i/>
          <w:iCs/>
        </w:rPr>
        <w:t>R</w:t>
      </w:r>
      <w:r w:rsidRPr="0024372F">
        <w:rPr>
          <w:i/>
          <w:iCs/>
          <w:vertAlign w:val="superscript"/>
        </w:rPr>
        <w:t>2</w:t>
      </w:r>
      <w:r w:rsidRPr="0024372F">
        <w:rPr>
          <w:i/>
          <w:iCs/>
        </w:rPr>
        <w:t xml:space="preserve"> </w:t>
      </w:r>
      <w:r w:rsidRPr="0024372F">
        <w:t xml:space="preserve">value accuracy than the "control constant value" </w:t>
      </w:r>
      <w:r w:rsidRPr="0024372F">
        <w:rPr>
          <w:i/>
          <w:iCs/>
        </w:rPr>
        <w:t>R</w:t>
      </w:r>
      <w:r w:rsidRPr="0024372F">
        <w:rPr>
          <w:i/>
          <w:iCs/>
          <w:vertAlign w:val="superscript"/>
        </w:rPr>
        <w:t>2</w:t>
      </w:r>
      <w:r w:rsidRPr="0024372F">
        <w:rPr>
          <w:vertAlign w:val="superscript"/>
        </w:rPr>
        <w:t xml:space="preserve"> </w:t>
      </w:r>
      <w:r w:rsidRPr="0024372F">
        <w:t>result, as given in Table 6, which is highlighted in the red square box. With the improved spectral wavelengths values of (NIR</w:t>
      </w:r>
      <w:r w:rsidRPr="0024372F">
        <w:rPr>
          <w:vertAlign w:val="subscript"/>
        </w:rPr>
        <w:t>new</w:t>
      </w:r>
      <w:r w:rsidRPr="0024372F">
        <w:t>=0.783m) and (Red</w:t>
      </w:r>
      <w:r w:rsidRPr="0024372F">
        <w:rPr>
          <w:vertAlign w:val="subscript"/>
        </w:rPr>
        <w:t>new</w:t>
      </w:r>
      <w:r w:rsidRPr="0024372F">
        <w:t xml:space="preserve">=0.627m) and the 50% of </w:t>
      </w:r>
      <w:r w:rsidRPr="0024372F">
        <w:lastRenderedPageBreak/>
        <w:t>image enhancement, the linear regression graph, as presented in Fig</w:t>
      </w:r>
      <w:r w:rsidR="000B33ED">
        <w:t>ure</w:t>
      </w:r>
      <w:r w:rsidRPr="0024372F">
        <w:t xml:space="preserve"> 6, shows that the new value of </w:t>
      </w:r>
      <w:r w:rsidRPr="0024372F">
        <w:rPr>
          <w:i/>
          <w:iCs/>
        </w:rPr>
        <w:t>R</w:t>
      </w:r>
      <w:r w:rsidRPr="0024372F">
        <w:rPr>
          <w:i/>
          <w:iCs/>
          <w:vertAlign w:val="superscript"/>
        </w:rPr>
        <w:t>2</w:t>
      </w:r>
      <w:r w:rsidRPr="0024372F">
        <w:rPr>
          <w:vertAlign w:val="subscript"/>
        </w:rPr>
        <w:t>new</w:t>
      </w:r>
      <w:r w:rsidRPr="0024372F">
        <w:t xml:space="preserve"> is 0.86, which is approximately higher than the previous value of (</w:t>
      </w:r>
      <w:r w:rsidRPr="0024372F">
        <w:rPr>
          <w:i/>
          <w:iCs/>
        </w:rPr>
        <w:t>R</w:t>
      </w:r>
      <w:r w:rsidRPr="0024372F">
        <w:rPr>
          <w:i/>
          <w:iCs/>
          <w:vertAlign w:val="superscript"/>
        </w:rPr>
        <w:t>2</w:t>
      </w:r>
      <w:r w:rsidRPr="0024372F">
        <w:t xml:space="preserve">=0.595). These significant values may be used as a future reference to determine archaeological proxies in Sungai Batu. The following Equations (2) to Equations (5) describe how this method improved pre-existing techniques across all four VIs. Lastly, </w:t>
      </w:r>
      <w:r w:rsidRPr="0024372F">
        <w:rPr>
          <w:i/>
          <w:iCs/>
        </w:rPr>
        <w:t>R</w:t>
      </w:r>
      <w:r w:rsidRPr="0024372F">
        <w:t xml:space="preserve"> must be greater than six times the Probable Error (6</w:t>
      </w:r>
      <w:r w:rsidRPr="0024372F">
        <w:rPr>
          <w:i/>
          <w:iCs/>
        </w:rPr>
        <w:t>PEr</w:t>
      </w:r>
      <w:r w:rsidRPr="0024372F">
        <w:t xml:space="preserve">). Clearly, the </w:t>
      </w:r>
      <w:r w:rsidRPr="0024372F">
        <w:rPr>
          <w:i/>
          <w:iCs/>
        </w:rPr>
        <w:t>R</w:t>
      </w:r>
      <w:r w:rsidRPr="0024372F">
        <w:t>-value is greater than 6</w:t>
      </w:r>
      <w:r w:rsidRPr="0024372F">
        <w:rPr>
          <w:i/>
          <w:iCs/>
        </w:rPr>
        <w:t>PEr</w:t>
      </w:r>
      <w:r w:rsidRPr="0024372F">
        <w:t>, indicating a statistically significant correlation.</w:t>
      </w:r>
    </w:p>
    <w:p w14:paraId="2E393C78" w14:textId="77777777" w:rsidR="0024372F" w:rsidRPr="0024372F" w:rsidRDefault="0024372F" w:rsidP="000B33ED">
      <w:pPr>
        <w:pStyle w:val="A"/>
      </w:pPr>
      <w:r w:rsidRPr="0024372F">
        <w:t>Modified Vegetation Indexes algorithms;</w:t>
      </w:r>
    </w:p>
    <w:p w14:paraId="64D1893B" w14:textId="77777777" w:rsidR="0024372F" w:rsidRPr="0024372F" w:rsidRDefault="0024372F" w:rsidP="0024372F">
      <w:pPr>
        <w:spacing w:after="0" w:line="240" w:lineRule="auto"/>
        <w:jc w:val="both"/>
        <w:rPr>
          <w:rFonts w:cs="Times New Roman"/>
          <w:sz w:val="24"/>
          <w:szCs w:val="24"/>
        </w:rPr>
      </w:pPr>
    </w:p>
    <w:p w14:paraId="3C94A558" w14:textId="56ABD15E" w:rsidR="0024372F" w:rsidRPr="0024372F" w:rsidRDefault="00452C95" w:rsidP="002027A9">
      <w:pPr>
        <w:spacing w:after="0" w:line="240" w:lineRule="auto"/>
        <w:jc w:val="both"/>
        <w:rPr>
          <w:rFonts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NDVI</m:t>
            </m:r>
          </m:e>
          <m:sub>
            <m:r>
              <w:rPr>
                <w:rFonts w:ascii="Cambria Math" w:hAnsi="Cambria Math" w:cs="Times New Roman"/>
                <w:sz w:val="24"/>
                <w:szCs w:val="24"/>
              </w:rPr>
              <m:t>modified</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NIR</m:t>
            </m:r>
            <m:r>
              <m:rPr>
                <m:sty m:val="p"/>
              </m:rPr>
              <w:rPr>
                <w:rFonts w:ascii="Cambria Math" w:hAnsi="Cambria Math" w:cs="Times New Roman"/>
                <w:sz w:val="24"/>
                <w:szCs w:val="24"/>
              </w:rPr>
              <m:t> -</m:t>
            </m:r>
            <m:r>
              <w:rPr>
                <w:rFonts w:ascii="Cambria Math" w:hAnsi="Cambria Math" w:cs="Times New Roman"/>
                <w:sz w:val="24"/>
                <w:szCs w:val="24"/>
              </w:rPr>
              <m:t>RED</m:t>
            </m:r>
            <m:r>
              <m:rPr>
                <m:sty m:val="p"/>
              </m:rPr>
              <w:rPr>
                <w:rFonts w:ascii="Cambria Math" w:hAnsi="Cambria Math" w:cs="Times New Roman"/>
                <w:sz w:val="24"/>
                <w:szCs w:val="24"/>
              </w:rPr>
              <m:t>)</m:t>
            </m:r>
          </m:num>
          <m:den>
            <m:r>
              <m:rPr>
                <m:sty m:val="p"/>
              </m:rPr>
              <w:rPr>
                <w:rFonts w:ascii="Cambria Math" w:hAnsi="Cambria Math" w:cs="Times New Roman"/>
                <w:sz w:val="24"/>
                <w:szCs w:val="24"/>
              </w:rPr>
              <m:t>(</m:t>
            </m:r>
            <m:r>
              <w:rPr>
                <w:rFonts w:ascii="Cambria Math" w:hAnsi="Cambria Math" w:cs="Times New Roman"/>
                <w:sz w:val="24"/>
                <w:szCs w:val="24"/>
              </w:rPr>
              <m:t>NIR</m:t>
            </m:r>
            <m:r>
              <m:rPr>
                <m:sty m:val="p"/>
              </m:rPr>
              <w:rPr>
                <w:rFonts w:ascii="Cambria Math" w:hAnsi="Cambria Math" w:cs="Times New Roman"/>
                <w:sz w:val="24"/>
                <w:szCs w:val="24"/>
              </w:rPr>
              <m:t>+</m:t>
            </m:r>
            <m:r>
              <w:rPr>
                <w:rFonts w:ascii="Cambria Math" w:hAnsi="Cambria Math" w:cs="Times New Roman"/>
                <w:sz w:val="24"/>
                <w:szCs w:val="24"/>
              </w:rPr>
              <m:t>RED</m:t>
            </m:r>
            <m:r>
              <m:rPr>
                <m:sty m:val="p"/>
              </m:rPr>
              <w:rPr>
                <w:rFonts w:ascii="Cambria Math" w:hAnsi="Cambria Math" w:cs="Times New Roman"/>
                <w:sz w:val="24"/>
                <w:szCs w:val="24"/>
              </w:rPr>
              <m:t>)</m:t>
            </m:r>
          </m:den>
        </m:f>
        <m:r>
          <w:rPr>
            <w:rFonts w:ascii="Cambria Math" w:hAnsi="Cambria Math" w:cs="Times New Roman"/>
            <w:sz w:val="24"/>
            <w:szCs w:val="24"/>
          </w:rPr>
          <m:t>x</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0024372F" w:rsidRPr="0024372F">
        <w:rPr>
          <w:rFonts w:cs="Times New Roman" w:hint="eastAsia"/>
          <w:sz w:val="24"/>
          <w:szCs w:val="24"/>
        </w:rPr>
        <w:tab/>
      </w:r>
      <w:r w:rsidR="0024372F" w:rsidRPr="0024372F">
        <w:rPr>
          <w:rFonts w:cs="Times New Roman"/>
          <w:sz w:val="24"/>
          <w:szCs w:val="24"/>
        </w:rPr>
        <w:tab/>
      </w:r>
      <w:r w:rsidR="0024372F" w:rsidRPr="0024372F">
        <w:rPr>
          <w:rFonts w:cs="Times New Roman"/>
          <w:sz w:val="24"/>
          <w:szCs w:val="24"/>
        </w:rPr>
        <w:tab/>
      </w:r>
      <w:r w:rsidR="0024372F" w:rsidRPr="0024372F">
        <w:rPr>
          <w:rFonts w:cs="Times New Roman"/>
          <w:sz w:val="24"/>
          <w:szCs w:val="24"/>
        </w:rPr>
        <w:tab/>
      </w:r>
      <w:r w:rsidR="0024372F" w:rsidRPr="0024372F">
        <w:rPr>
          <w:rFonts w:cs="Times New Roman"/>
          <w:sz w:val="24"/>
          <w:szCs w:val="24"/>
        </w:rPr>
        <w:tab/>
      </w:r>
      <w:r w:rsidR="0024372F" w:rsidRPr="0024372F">
        <w:rPr>
          <w:rFonts w:cs="Times New Roman"/>
          <w:sz w:val="24"/>
          <w:szCs w:val="24"/>
        </w:rPr>
        <w:tab/>
      </w:r>
      <w:r w:rsidR="000B33ED">
        <w:rPr>
          <w:rFonts w:cs="Times New Roman"/>
          <w:sz w:val="24"/>
          <w:szCs w:val="24"/>
        </w:rPr>
        <w:tab/>
      </w:r>
      <w:r w:rsidR="000B33ED">
        <w:rPr>
          <w:rFonts w:cs="Times New Roman"/>
          <w:sz w:val="24"/>
          <w:szCs w:val="24"/>
        </w:rPr>
        <w:tab/>
        <w:t xml:space="preserve">     </w:t>
      </w:r>
      <w:r w:rsidR="000B33ED">
        <w:rPr>
          <w:rFonts w:cs="Times New Roman"/>
          <w:sz w:val="24"/>
          <w:szCs w:val="24"/>
        </w:rPr>
        <w:tab/>
        <w:t xml:space="preserve">  </w:t>
      </w:r>
      <w:r w:rsidR="0024372F" w:rsidRPr="0024372F">
        <w:rPr>
          <w:rFonts w:cs="Times New Roman" w:hint="eastAsia"/>
          <w:sz w:val="24"/>
          <w:szCs w:val="24"/>
        </w:rPr>
        <w:t>(</w:t>
      </w:r>
      <w:r w:rsidR="0024372F" w:rsidRPr="0024372F">
        <w:rPr>
          <w:rFonts w:cs="Times New Roman"/>
          <w:sz w:val="24"/>
          <w:szCs w:val="24"/>
        </w:rPr>
        <w:t>2</w:t>
      </w:r>
      <w:r w:rsidR="0024372F" w:rsidRPr="0024372F">
        <w:rPr>
          <w:rFonts w:cs="Times New Roman" w:hint="eastAsia"/>
          <w:sz w:val="24"/>
          <w:szCs w:val="24"/>
        </w:rPr>
        <w:t>)</w:t>
      </w:r>
    </w:p>
    <w:p w14:paraId="2D97E947" w14:textId="77777777" w:rsidR="0024372F" w:rsidRPr="0024372F" w:rsidRDefault="0024372F" w:rsidP="0024372F">
      <w:pPr>
        <w:spacing w:after="0" w:line="240" w:lineRule="auto"/>
        <w:jc w:val="both"/>
        <w:rPr>
          <w:rFonts w:cs="Times New Roman"/>
          <w:sz w:val="24"/>
          <w:szCs w:val="24"/>
        </w:rPr>
      </w:pPr>
    </w:p>
    <w:p w14:paraId="37DD0722" w14:textId="18C1E51F" w:rsidR="0024372F" w:rsidRPr="0024372F" w:rsidRDefault="00452C95" w:rsidP="0024372F">
      <w:pPr>
        <w:spacing w:after="0" w:line="240" w:lineRule="auto"/>
        <w:jc w:val="both"/>
        <w:rPr>
          <w:rFonts w:cs="Times New Roman"/>
          <w:sz w:val="24"/>
          <w:szCs w:val="24"/>
          <w:lang w:val="pt-BR"/>
        </w:rPr>
      </w:pPr>
      <m:oMath>
        <m:sSub>
          <m:sSubPr>
            <m:ctrlPr>
              <w:rPr>
                <w:rFonts w:ascii="Cambria Math" w:hAnsi="Cambria Math" w:cs="Times New Roman"/>
                <w:i/>
                <w:iCs/>
                <w:sz w:val="24"/>
                <w:szCs w:val="24"/>
                <w:lang w:val="pt-BR"/>
              </w:rPr>
            </m:ctrlPr>
          </m:sSubPr>
          <m:e>
            <m:r>
              <w:rPr>
                <w:rFonts w:ascii="Cambria Math" w:hAnsi="Cambria Math" w:cs="Times New Roman"/>
                <w:sz w:val="24"/>
                <w:szCs w:val="24"/>
              </w:rPr>
              <m:t>DVI</m:t>
            </m:r>
          </m:e>
          <m:sub>
            <m:r>
              <w:rPr>
                <w:rFonts w:ascii="Cambria Math" w:hAnsi="Cambria Math" w:cs="Times New Roman"/>
                <w:sz w:val="24"/>
                <w:szCs w:val="24"/>
              </w:rPr>
              <m:t>modified</m:t>
            </m:r>
          </m:sub>
        </m:sSub>
        <m:r>
          <w:rPr>
            <w:rFonts w:ascii="Cambria Math" w:hAnsi="Cambria Math" w:cs="Times New Roman"/>
            <w:sz w:val="24"/>
            <w:szCs w:val="24"/>
            <w:lang w:val="pt-BR"/>
          </w:rPr>
          <m:t>=</m:t>
        </m:r>
        <m:f>
          <m:fPr>
            <m:ctrlPr>
              <w:rPr>
                <w:rFonts w:ascii="Cambria Math" w:hAnsi="Cambria Math" w:cs="Times New Roman"/>
                <w:i/>
                <w:iCs/>
                <w:sz w:val="24"/>
                <w:szCs w:val="24"/>
                <w:lang w:val="pt-BR"/>
              </w:rPr>
            </m:ctrlPr>
          </m:fPr>
          <m:num>
            <m:r>
              <w:rPr>
                <w:rFonts w:ascii="Cambria Math" w:hAnsi="Cambria Math" w:cs="Times New Roman"/>
                <w:sz w:val="24"/>
                <w:szCs w:val="24"/>
                <w:lang w:val="pt-BR"/>
              </w:rPr>
              <m:t>(</m:t>
            </m:r>
            <m:r>
              <w:rPr>
                <w:rFonts w:ascii="Cambria Math" w:hAnsi="Cambria Math" w:cs="Times New Roman"/>
                <w:sz w:val="24"/>
                <w:szCs w:val="24"/>
              </w:rPr>
              <m:t>NIR</m:t>
            </m:r>
            <m:r>
              <w:rPr>
                <w:rFonts w:ascii="Cambria Math" w:hAnsi="Cambria Math" w:cs="Times New Roman"/>
                <w:sz w:val="24"/>
                <w:szCs w:val="24"/>
                <w:lang w:val="pt-BR"/>
              </w:rPr>
              <m:t> -</m:t>
            </m:r>
            <m:r>
              <w:rPr>
                <w:rFonts w:ascii="Cambria Math" w:hAnsi="Cambria Math" w:cs="Times New Roman"/>
                <w:sz w:val="24"/>
                <w:szCs w:val="24"/>
              </w:rPr>
              <m:t>RED</m:t>
            </m:r>
            <m:r>
              <w:rPr>
                <w:rFonts w:ascii="Cambria Math" w:hAnsi="Cambria Math" w:cs="Times New Roman"/>
                <w:sz w:val="24"/>
                <w:szCs w:val="24"/>
                <w:lang w:val="pt-BR"/>
              </w:rPr>
              <m:t>)</m:t>
            </m:r>
          </m:num>
          <m:den>
            <m:r>
              <w:rPr>
                <w:rFonts w:ascii="Cambria Math" w:hAnsi="Cambria Math" w:cs="Times New Roman"/>
                <w:sz w:val="24"/>
                <w:szCs w:val="24"/>
                <w:lang w:val="pt-BR"/>
              </w:rPr>
              <m:t>2</m:t>
            </m:r>
          </m:den>
        </m:f>
      </m:oMath>
      <w:r w:rsidR="0024372F" w:rsidRPr="0024372F">
        <w:rPr>
          <w:rFonts w:cs="Times New Roman" w:hint="eastAsia"/>
          <w:sz w:val="24"/>
          <w:szCs w:val="24"/>
          <w:lang w:val="pt-BR"/>
        </w:rPr>
        <w:tab/>
        <w:t xml:space="preserve">              </w:t>
      </w:r>
      <w:r w:rsidR="0024372F" w:rsidRPr="0024372F">
        <w:rPr>
          <w:rFonts w:cs="Times New Roman"/>
          <w:sz w:val="24"/>
          <w:szCs w:val="24"/>
          <w:lang w:val="pt-BR"/>
        </w:rPr>
        <w:tab/>
      </w:r>
      <w:r w:rsidR="0024372F" w:rsidRPr="0024372F">
        <w:rPr>
          <w:rFonts w:cs="Times New Roman"/>
          <w:sz w:val="24"/>
          <w:szCs w:val="24"/>
          <w:lang w:val="pt-BR"/>
        </w:rPr>
        <w:tab/>
      </w:r>
      <w:r w:rsidR="0024372F" w:rsidRPr="0024372F">
        <w:rPr>
          <w:rFonts w:cs="Times New Roman"/>
          <w:sz w:val="24"/>
          <w:szCs w:val="24"/>
          <w:lang w:val="pt-BR"/>
        </w:rPr>
        <w:tab/>
      </w:r>
      <w:r w:rsidR="0024372F" w:rsidRPr="0024372F">
        <w:rPr>
          <w:rFonts w:cs="Times New Roman"/>
          <w:sz w:val="24"/>
          <w:szCs w:val="24"/>
          <w:lang w:val="pt-BR"/>
        </w:rPr>
        <w:tab/>
        <w:t xml:space="preserve">             </w:t>
      </w:r>
      <w:r w:rsidR="000B33ED">
        <w:rPr>
          <w:rFonts w:cs="Times New Roman"/>
          <w:sz w:val="24"/>
          <w:szCs w:val="24"/>
          <w:lang w:val="pt-BR"/>
        </w:rPr>
        <w:tab/>
      </w:r>
      <w:r w:rsidR="000B33ED">
        <w:rPr>
          <w:rFonts w:cs="Times New Roman"/>
          <w:sz w:val="24"/>
          <w:szCs w:val="24"/>
          <w:lang w:val="pt-BR"/>
        </w:rPr>
        <w:tab/>
      </w:r>
      <w:r w:rsidR="000B33ED">
        <w:rPr>
          <w:rFonts w:cs="Times New Roman"/>
          <w:sz w:val="24"/>
          <w:szCs w:val="24"/>
          <w:lang w:val="pt-BR"/>
        </w:rPr>
        <w:tab/>
      </w:r>
      <w:r w:rsidR="000B33ED">
        <w:rPr>
          <w:rFonts w:cs="Times New Roman"/>
          <w:sz w:val="24"/>
          <w:szCs w:val="24"/>
          <w:lang w:val="pt-BR"/>
        </w:rPr>
        <w:tab/>
        <w:t xml:space="preserve">  </w:t>
      </w:r>
      <w:r w:rsidR="0024372F" w:rsidRPr="0024372F">
        <w:rPr>
          <w:rFonts w:cs="Times New Roman" w:hint="eastAsia"/>
          <w:sz w:val="24"/>
          <w:szCs w:val="24"/>
          <w:lang w:val="pt-BR"/>
        </w:rPr>
        <w:t>(</w:t>
      </w:r>
      <w:r w:rsidR="0024372F" w:rsidRPr="0024372F">
        <w:rPr>
          <w:rFonts w:cs="Times New Roman"/>
          <w:sz w:val="24"/>
          <w:szCs w:val="24"/>
          <w:lang w:val="pt-BR"/>
        </w:rPr>
        <w:t>3</w:t>
      </w:r>
      <w:r w:rsidR="0024372F" w:rsidRPr="0024372F">
        <w:rPr>
          <w:rFonts w:cs="Times New Roman" w:hint="eastAsia"/>
          <w:sz w:val="24"/>
          <w:szCs w:val="24"/>
          <w:lang w:val="pt-BR"/>
        </w:rPr>
        <w:t>)</w:t>
      </w:r>
    </w:p>
    <w:p w14:paraId="356781FD" w14:textId="77777777" w:rsidR="0024372F" w:rsidRPr="0024372F" w:rsidRDefault="0024372F" w:rsidP="0024372F">
      <w:pPr>
        <w:spacing w:after="0" w:line="240" w:lineRule="auto"/>
        <w:jc w:val="both"/>
        <w:rPr>
          <w:rFonts w:cs="Times New Roman"/>
          <w:sz w:val="24"/>
          <w:szCs w:val="24"/>
          <w:lang w:val="pt-BR"/>
        </w:rPr>
      </w:pPr>
    </w:p>
    <w:p w14:paraId="5EF28A32" w14:textId="1B86C411" w:rsidR="0024372F" w:rsidRPr="0024372F" w:rsidRDefault="00452C95" w:rsidP="0024372F">
      <w:pPr>
        <w:spacing w:after="0" w:line="240" w:lineRule="auto"/>
        <w:jc w:val="both"/>
        <w:rPr>
          <w:rFonts w:cs="Times New Roman"/>
          <w:sz w:val="24"/>
          <w:szCs w:val="24"/>
          <w:lang w:val="pt-BR"/>
        </w:rPr>
      </w:pPr>
      <m:oMath>
        <m:sSub>
          <m:sSubPr>
            <m:ctrlPr>
              <w:rPr>
                <w:rFonts w:ascii="Cambria Math" w:hAnsi="Cambria Math" w:cs="Times New Roman"/>
                <w:i/>
                <w:iCs/>
                <w:sz w:val="24"/>
                <w:szCs w:val="24"/>
                <w:lang w:val="pt-BR"/>
              </w:rPr>
            </m:ctrlPr>
          </m:sSubPr>
          <m:e>
            <m:r>
              <w:rPr>
                <w:rFonts w:ascii="Cambria Math" w:hAnsi="Cambria Math" w:cs="Times New Roman"/>
                <w:sz w:val="24"/>
                <w:szCs w:val="24"/>
              </w:rPr>
              <m:t>RDVI</m:t>
            </m:r>
          </m:e>
          <m:sub>
            <m:r>
              <w:rPr>
                <w:rFonts w:ascii="Cambria Math" w:hAnsi="Cambria Math" w:cs="Times New Roman"/>
                <w:sz w:val="24"/>
                <w:szCs w:val="24"/>
              </w:rPr>
              <m:t>modified</m:t>
            </m:r>
          </m:sub>
        </m:sSub>
        <m:r>
          <w:rPr>
            <w:rFonts w:ascii="Cambria Math" w:hAnsi="Cambria Math" w:cs="Times New Roman"/>
            <w:sz w:val="24"/>
            <w:szCs w:val="24"/>
            <w:lang w:val="pt-BR"/>
          </w:rPr>
          <m:t>=</m:t>
        </m:r>
        <m:f>
          <m:fPr>
            <m:ctrlPr>
              <w:rPr>
                <w:rFonts w:ascii="Cambria Math" w:hAnsi="Cambria Math" w:cs="Times New Roman"/>
                <w:i/>
                <w:iCs/>
                <w:sz w:val="24"/>
                <w:szCs w:val="24"/>
                <w:lang w:val="pt-BR"/>
              </w:rPr>
            </m:ctrlPr>
          </m:fPr>
          <m:num>
            <m:r>
              <w:rPr>
                <w:rFonts w:ascii="Cambria Math" w:hAnsi="Cambria Math" w:cs="Times New Roman"/>
                <w:sz w:val="24"/>
                <w:szCs w:val="24"/>
                <w:lang w:val="pt-BR"/>
              </w:rPr>
              <m:t>(</m:t>
            </m:r>
            <m:r>
              <w:rPr>
                <w:rFonts w:ascii="Cambria Math" w:hAnsi="Cambria Math" w:cs="Times New Roman"/>
                <w:sz w:val="24"/>
                <w:szCs w:val="24"/>
              </w:rPr>
              <m:t>NIR</m:t>
            </m:r>
            <m:r>
              <w:rPr>
                <w:rFonts w:ascii="Cambria Math" w:hAnsi="Cambria Math" w:cs="Times New Roman"/>
                <w:sz w:val="24"/>
                <w:szCs w:val="24"/>
                <w:lang w:val="pt-BR"/>
              </w:rPr>
              <m:t> -</m:t>
            </m:r>
            <m:r>
              <w:rPr>
                <w:rFonts w:ascii="Cambria Math" w:hAnsi="Cambria Math" w:cs="Times New Roman"/>
                <w:sz w:val="24"/>
                <w:szCs w:val="24"/>
              </w:rPr>
              <m:t>RED</m:t>
            </m:r>
            <m:r>
              <w:rPr>
                <w:rFonts w:ascii="Cambria Math" w:hAnsi="Cambria Math" w:cs="Times New Roman"/>
                <w:sz w:val="24"/>
                <w:szCs w:val="24"/>
                <w:lang w:val="pt-BR"/>
              </w:rPr>
              <m:t>)</m:t>
            </m:r>
          </m:num>
          <m:den>
            <m:sSup>
              <m:sSupPr>
                <m:ctrlPr>
                  <w:rPr>
                    <w:rFonts w:ascii="Cambria Math" w:hAnsi="Cambria Math" w:cs="Times New Roman"/>
                    <w:i/>
                    <w:iCs/>
                    <w:sz w:val="24"/>
                    <w:szCs w:val="24"/>
                    <w:lang w:val="en-MY"/>
                  </w:rPr>
                </m:ctrlPr>
              </m:sSupPr>
              <m:e>
                <m:r>
                  <w:rPr>
                    <w:rFonts w:ascii="Cambria Math" w:hAnsi="Cambria Math" w:cs="Times New Roman"/>
                    <w:sz w:val="24"/>
                    <w:szCs w:val="24"/>
                    <w:lang w:val="pt-BR"/>
                  </w:rPr>
                  <m:t>(</m:t>
                </m:r>
                <m:r>
                  <w:rPr>
                    <w:rFonts w:ascii="Cambria Math" w:hAnsi="Cambria Math" w:cs="Times New Roman"/>
                    <w:sz w:val="24"/>
                    <w:szCs w:val="24"/>
                  </w:rPr>
                  <m:t>NIR</m:t>
                </m:r>
                <m:r>
                  <w:rPr>
                    <w:rFonts w:ascii="Cambria Math" w:hAnsi="Cambria Math" w:cs="Times New Roman"/>
                    <w:sz w:val="24"/>
                    <w:szCs w:val="24"/>
                    <w:lang w:val="pt-BR"/>
                  </w:rPr>
                  <m:t>+</m:t>
                </m:r>
                <m:r>
                  <w:rPr>
                    <w:rFonts w:ascii="Cambria Math" w:hAnsi="Cambria Math" w:cs="Times New Roman"/>
                    <w:sz w:val="24"/>
                    <w:szCs w:val="24"/>
                  </w:rPr>
                  <m:t>RED</m:t>
                </m:r>
                <m:r>
                  <w:rPr>
                    <w:rFonts w:ascii="Cambria Math" w:hAnsi="Cambria Math" w:cs="Times New Roman"/>
                    <w:sz w:val="24"/>
                    <w:szCs w:val="24"/>
                    <w:lang w:val="pt-BR"/>
                  </w:rPr>
                  <m:t>)</m:t>
                </m:r>
              </m:e>
              <m:sup>
                <m:r>
                  <w:rPr>
                    <w:rFonts w:ascii="Cambria Math" w:hAnsi="Cambria Math" w:cs="Times New Roman"/>
                    <w:sz w:val="24"/>
                    <w:szCs w:val="24"/>
                    <w:lang w:val="pt-BR"/>
                  </w:rPr>
                  <m:t>0.5</m:t>
                </m:r>
              </m:sup>
            </m:sSup>
          </m:den>
        </m:f>
        <m:r>
          <w:rPr>
            <w:rFonts w:ascii="Cambria Math" w:hAnsi="Cambria Math" w:cs="Times New Roman"/>
            <w:sz w:val="24"/>
            <w:szCs w:val="24"/>
          </w:rPr>
          <m:t>x</m:t>
        </m:r>
        <m:f>
          <m:fPr>
            <m:ctrlPr>
              <w:rPr>
                <w:rFonts w:ascii="Cambria Math" w:hAnsi="Cambria Math" w:cs="Times New Roman"/>
                <w:i/>
                <w:iCs/>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0024372F" w:rsidRPr="0024372F">
        <w:rPr>
          <w:rFonts w:cs="Times New Roman"/>
          <w:sz w:val="24"/>
          <w:szCs w:val="24"/>
          <w:lang w:val="pt-BR"/>
        </w:rPr>
        <w:t xml:space="preserve"> </w:t>
      </w:r>
      <w:r w:rsidR="0024372F" w:rsidRPr="0024372F">
        <w:rPr>
          <w:rFonts w:cs="Times New Roman"/>
          <w:sz w:val="24"/>
          <w:szCs w:val="24"/>
          <w:lang w:val="pt-BR"/>
        </w:rPr>
        <w:tab/>
      </w:r>
      <w:r w:rsidR="0024372F" w:rsidRPr="0024372F">
        <w:rPr>
          <w:rFonts w:cs="Times New Roman"/>
          <w:sz w:val="24"/>
          <w:szCs w:val="24"/>
          <w:lang w:val="pt-BR"/>
        </w:rPr>
        <w:tab/>
      </w:r>
      <w:r w:rsidR="0024372F" w:rsidRPr="0024372F">
        <w:rPr>
          <w:rFonts w:cs="Times New Roman"/>
          <w:sz w:val="24"/>
          <w:szCs w:val="24"/>
          <w:lang w:val="pt-BR"/>
        </w:rPr>
        <w:tab/>
      </w:r>
      <w:r w:rsidR="0024372F" w:rsidRPr="0024372F">
        <w:rPr>
          <w:rFonts w:cs="Times New Roman"/>
          <w:sz w:val="24"/>
          <w:szCs w:val="24"/>
          <w:lang w:val="pt-BR"/>
        </w:rPr>
        <w:tab/>
      </w:r>
      <w:r w:rsidR="0024372F" w:rsidRPr="0024372F">
        <w:rPr>
          <w:rFonts w:cs="Times New Roman"/>
          <w:sz w:val="24"/>
          <w:szCs w:val="24"/>
          <w:lang w:val="pt-BR"/>
        </w:rPr>
        <w:tab/>
        <w:t xml:space="preserve">             </w:t>
      </w:r>
      <w:r w:rsidR="000B33ED">
        <w:rPr>
          <w:rFonts w:cs="Times New Roman"/>
          <w:sz w:val="24"/>
          <w:szCs w:val="24"/>
          <w:lang w:val="pt-BR"/>
        </w:rPr>
        <w:tab/>
      </w:r>
      <w:r w:rsidR="000B33ED">
        <w:rPr>
          <w:rFonts w:cs="Times New Roman"/>
          <w:sz w:val="24"/>
          <w:szCs w:val="24"/>
          <w:lang w:val="pt-BR"/>
        </w:rPr>
        <w:tab/>
      </w:r>
      <w:r w:rsidR="000B33ED">
        <w:rPr>
          <w:rFonts w:cs="Times New Roman"/>
          <w:sz w:val="24"/>
          <w:szCs w:val="24"/>
          <w:lang w:val="pt-BR"/>
        </w:rPr>
        <w:tab/>
      </w:r>
      <w:r w:rsidR="000B33ED">
        <w:rPr>
          <w:rFonts w:cs="Times New Roman"/>
          <w:sz w:val="24"/>
          <w:szCs w:val="24"/>
          <w:lang w:val="pt-BR"/>
        </w:rPr>
        <w:tab/>
        <w:t xml:space="preserve">  </w:t>
      </w:r>
      <w:r w:rsidR="0024372F" w:rsidRPr="0024372F">
        <w:rPr>
          <w:rFonts w:cs="Times New Roman" w:hint="eastAsia"/>
          <w:sz w:val="24"/>
          <w:szCs w:val="24"/>
          <w:lang w:val="pt-BR"/>
        </w:rPr>
        <w:t>(</w:t>
      </w:r>
      <w:r w:rsidR="0024372F" w:rsidRPr="0024372F">
        <w:rPr>
          <w:rFonts w:cs="Times New Roman"/>
          <w:sz w:val="24"/>
          <w:szCs w:val="24"/>
          <w:lang w:val="pt-BR"/>
        </w:rPr>
        <w:t>4</w:t>
      </w:r>
      <w:r w:rsidR="0024372F" w:rsidRPr="0024372F">
        <w:rPr>
          <w:rFonts w:cs="Times New Roman" w:hint="eastAsia"/>
          <w:sz w:val="24"/>
          <w:szCs w:val="24"/>
          <w:lang w:val="pt-BR"/>
        </w:rPr>
        <w:t>)</w:t>
      </w:r>
    </w:p>
    <w:p w14:paraId="19AC7E5A" w14:textId="77777777" w:rsidR="0024372F" w:rsidRPr="0024372F" w:rsidRDefault="0024372F" w:rsidP="0024372F">
      <w:pPr>
        <w:spacing w:after="0" w:line="240" w:lineRule="auto"/>
        <w:jc w:val="both"/>
        <w:rPr>
          <w:rFonts w:cs="Times New Roman"/>
          <w:sz w:val="24"/>
          <w:szCs w:val="24"/>
          <w:lang w:val="pt-BR"/>
        </w:rPr>
      </w:pPr>
    </w:p>
    <w:p w14:paraId="0978028A" w14:textId="071AFFF9" w:rsidR="0024372F" w:rsidRPr="0024372F" w:rsidRDefault="00452C95" w:rsidP="0024372F">
      <w:pPr>
        <w:spacing w:after="0" w:line="240" w:lineRule="auto"/>
        <w:jc w:val="both"/>
        <w:rPr>
          <w:rFonts w:cs="Times New Roman"/>
          <w:sz w:val="24"/>
          <w:szCs w:val="24"/>
          <w:lang w:val="pt-BR"/>
        </w:rPr>
      </w:pPr>
      <m:oMath>
        <m:sSub>
          <m:sSubPr>
            <m:ctrlPr>
              <w:rPr>
                <w:rFonts w:ascii="Cambria Math" w:hAnsi="Cambria Math" w:cs="Times New Roman"/>
                <w:i/>
                <w:iCs/>
                <w:sz w:val="24"/>
                <w:szCs w:val="24"/>
                <w:lang w:val="pt-BR"/>
              </w:rPr>
            </m:ctrlPr>
          </m:sSubPr>
          <m:e>
            <m:r>
              <w:rPr>
                <w:rFonts w:ascii="Cambria Math" w:hAnsi="Cambria Math" w:cs="Times New Roman"/>
                <w:sz w:val="24"/>
                <w:szCs w:val="24"/>
              </w:rPr>
              <m:t>MSAVI</m:t>
            </m:r>
          </m:e>
          <m:sub>
            <m:r>
              <w:rPr>
                <w:rFonts w:ascii="Cambria Math" w:hAnsi="Cambria Math" w:cs="Times New Roman"/>
                <w:sz w:val="24"/>
                <w:szCs w:val="24"/>
              </w:rPr>
              <m:t>modified</m:t>
            </m:r>
          </m:sub>
        </m:sSub>
        <m:r>
          <w:rPr>
            <w:rFonts w:ascii="Cambria Math" w:hAnsi="Cambria Math" w:cs="Times New Roman"/>
            <w:sz w:val="24"/>
            <w:szCs w:val="24"/>
            <w:lang w:val="pt-BR"/>
          </w:rPr>
          <m:t>=</m:t>
        </m:r>
        <m:f>
          <m:fPr>
            <m:ctrlPr>
              <w:rPr>
                <w:rFonts w:ascii="Cambria Math" w:hAnsi="Cambria Math" w:cs="Times New Roman"/>
                <w:i/>
                <w:iCs/>
                <w:sz w:val="24"/>
                <w:szCs w:val="24"/>
                <w:lang w:val="pt-BR"/>
              </w:rPr>
            </m:ctrlPr>
          </m:fPr>
          <m:num>
            <m:r>
              <w:rPr>
                <w:rFonts w:ascii="Cambria Math" w:hAnsi="Cambria Math" w:cs="Times New Roman"/>
                <w:sz w:val="24"/>
                <w:szCs w:val="24"/>
                <w:lang w:val="pt-BR"/>
              </w:rPr>
              <m:t>2</m:t>
            </m:r>
            <m:r>
              <w:rPr>
                <w:rFonts w:ascii="Cambria Math" w:hAnsi="Cambria Math" w:cs="Times New Roman"/>
                <w:sz w:val="24"/>
                <w:szCs w:val="24"/>
              </w:rPr>
              <m:t>NIR</m:t>
            </m:r>
            <m:r>
              <w:rPr>
                <w:rFonts w:ascii="Cambria Math" w:hAnsi="Cambria Math" w:cs="Times New Roman"/>
                <w:sz w:val="24"/>
                <w:szCs w:val="24"/>
                <w:lang w:val="pt-BR"/>
              </w:rPr>
              <m:t>+1  </m:t>
            </m:r>
            <m:sSup>
              <m:sSupPr>
                <m:ctrlPr>
                  <w:rPr>
                    <w:rFonts w:ascii="Cambria Math" w:hAnsi="Cambria Math" w:cs="Times New Roman"/>
                    <w:i/>
                    <w:iCs/>
                    <w:sz w:val="24"/>
                    <w:szCs w:val="24"/>
                  </w:rPr>
                </m:ctrlPr>
              </m:sSupPr>
              <m:e>
                <m:r>
                  <w:rPr>
                    <w:rFonts w:ascii="Cambria Math" w:hAnsi="Cambria Math" w:cs="Times New Roman"/>
                    <w:sz w:val="24"/>
                    <w:szCs w:val="24"/>
                    <w:lang w:val="pt-BR"/>
                  </w:rPr>
                  <m:t>[ (2</m:t>
                </m:r>
                <m:r>
                  <w:rPr>
                    <w:rFonts w:ascii="Cambria Math" w:hAnsi="Cambria Math" w:cs="Times New Roman"/>
                    <w:sz w:val="24"/>
                    <w:szCs w:val="24"/>
                  </w:rPr>
                  <m:t>NIR</m:t>
                </m:r>
                <m:r>
                  <w:rPr>
                    <w:rFonts w:ascii="Cambria Math" w:hAnsi="Cambria Math" w:cs="Times New Roman"/>
                    <w:sz w:val="24"/>
                    <w:szCs w:val="24"/>
                    <w:lang w:val="pt-BR"/>
                  </w:rPr>
                  <m:t>+1)</m:t>
                </m:r>
              </m:e>
              <m:sup>
                <m:r>
                  <w:rPr>
                    <w:rFonts w:ascii="Cambria Math" w:hAnsi="Cambria Math" w:cs="Times New Roman"/>
                    <w:sz w:val="24"/>
                    <w:szCs w:val="24"/>
                    <w:lang w:val="pt-BR"/>
                  </w:rPr>
                  <m:t>2</m:t>
                </m:r>
              </m:sup>
            </m:sSup>
            <m:r>
              <w:rPr>
                <w:rFonts w:ascii="Cambria Math" w:hAnsi="Cambria Math" w:cs="Times New Roman"/>
                <w:sz w:val="24"/>
                <w:szCs w:val="24"/>
                <w:lang w:val="pt-BR"/>
              </w:rPr>
              <m:t> - </m:t>
            </m:r>
            <m:sSup>
              <m:sSupPr>
                <m:ctrlPr>
                  <w:rPr>
                    <w:rFonts w:ascii="Cambria Math" w:hAnsi="Cambria Math" w:cs="Times New Roman"/>
                    <w:i/>
                    <w:iCs/>
                    <w:sz w:val="24"/>
                    <w:szCs w:val="24"/>
                  </w:rPr>
                </m:ctrlPr>
              </m:sSupPr>
              <m:e>
                <m:r>
                  <w:rPr>
                    <w:rFonts w:ascii="Cambria Math" w:hAnsi="Cambria Math" w:cs="Times New Roman"/>
                    <w:sz w:val="24"/>
                    <w:szCs w:val="24"/>
                    <w:lang w:val="pt-BR"/>
                  </w:rPr>
                  <m:t>8(</m:t>
                </m:r>
                <m:r>
                  <w:rPr>
                    <w:rFonts w:ascii="Cambria Math" w:hAnsi="Cambria Math" w:cs="Times New Roman"/>
                    <w:sz w:val="24"/>
                    <w:szCs w:val="24"/>
                  </w:rPr>
                  <m:t>NIR</m:t>
                </m:r>
                <m:r>
                  <w:rPr>
                    <w:rFonts w:ascii="Cambria Math" w:hAnsi="Cambria Math" w:cs="Times New Roman"/>
                    <w:sz w:val="24"/>
                    <w:szCs w:val="24"/>
                    <w:lang w:val="pt-BR"/>
                  </w:rPr>
                  <m:t> -</m:t>
                </m:r>
                <m:r>
                  <w:rPr>
                    <w:rFonts w:ascii="Cambria Math" w:hAnsi="Cambria Math" w:cs="Times New Roman"/>
                    <w:sz w:val="24"/>
                    <w:szCs w:val="24"/>
                  </w:rPr>
                  <m:t>RED</m:t>
                </m:r>
                <m:r>
                  <w:rPr>
                    <w:rFonts w:ascii="Cambria Math" w:hAnsi="Cambria Math" w:cs="Times New Roman"/>
                    <w:sz w:val="24"/>
                    <w:szCs w:val="24"/>
                    <w:lang w:val="pt-BR"/>
                  </w:rPr>
                  <m:t>)]</m:t>
                </m:r>
              </m:e>
              <m:sup>
                <m:r>
                  <w:rPr>
                    <w:rFonts w:ascii="Cambria Math" w:hAnsi="Cambria Math" w:cs="Times New Roman"/>
                    <w:sz w:val="24"/>
                    <w:szCs w:val="24"/>
                    <w:lang w:val="pt-BR"/>
                  </w:rPr>
                  <m:t>0.5</m:t>
                </m:r>
              </m:sup>
            </m:sSup>
          </m:num>
          <m:den>
            <m:r>
              <w:rPr>
                <w:rFonts w:ascii="Cambria Math" w:hAnsi="Cambria Math" w:cs="Times New Roman"/>
                <w:sz w:val="24"/>
                <w:szCs w:val="24"/>
                <w:lang w:val="pt-BR"/>
              </w:rPr>
              <m:t>4</m:t>
            </m:r>
          </m:den>
        </m:f>
      </m:oMath>
      <w:r w:rsidR="000B33ED">
        <w:rPr>
          <w:rFonts w:eastAsiaTheme="minorEastAsia" w:cs="Times New Roman"/>
          <w:sz w:val="24"/>
          <w:szCs w:val="24"/>
          <w:lang w:val="pt-BR"/>
        </w:rPr>
        <w:t xml:space="preserve"> </w:t>
      </w:r>
      <w:r w:rsidR="0024372F" w:rsidRPr="0024372F">
        <w:rPr>
          <w:rFonts w:cs="Times New Roman"/>
          <w:sz w:val="24"/>
          <w:szCs w:val="24"/>
          <w:lang w:val="pt-BR"/>
        </w:rPr>
        <w:tab/>
      </w:r>
      <w:r w:rsidR="0024372F" w:rsidRPr="0024372F">
        <w:rPr>
          <w:rFonts w:cs="Times New Roman"/>
          <w:sz w:val="24"/>
          <w:szCs w:val="24"/>
          <w:lang w:val="pt-BR"/>
        </w:rPr>
        <w:tab/>
      </w:r>
      <w:r w:rsidR="0024372F" w:rsidRPr="0024372F">
        <w:rPr>
          <w:rFonts w:cs="Times New Roman"/>
          <w:sz w:val="24"/>
          <w:szCs w:val="24"/>
          <w:lang w:val="pt-BR"/>
        </w:rPr>
        <w:tab/>
      </w:r>
      <w:r w:rsidR="000B33ED">
        <w:rPr>
          <w:rFonts w:cs="Times New Roman"/>
          <w:sz w:val="24"/>
          <w:szCs w:val="24"/>
          <w:lang w:val="pt-BR"/>
        </w:rPr>
        <w:tab/>
      </w:r>
      <w:r w:rsidR="000B33ED">
        <w:rPr>
          <w:rFonts w:cs="Times New Roman"/>
          <w:sz w:val="24"/>
          <w:szCs w:val="24"/>
          <w:lang w:val="pt-BR"/>
        </w:rPr>
        <w:tab/>
      </w:r>
      <w:r w:rsidR="000B33ED">
        <w:rPr>
          <w:rFonts w:cs="Times New Roman"/>
          <w:sz w:val="24"/>
          <w:szCs w:val="24"/>
          <w:lang w:val="pt-BR"/>
        </w:rPr>
        <w:tab/>
        <w:t xml:space="preserve">  </w:t>
      </w:r>
      <w:r w:rsidR="0024372F" w:rsidRPr="0024372F">
        <w:rPr>
          <w:rFonts w:cs="Times New Roman" w:hint="eastAsia"/>
          <w:sz w:val="24"/>
          <w:szCs w:val="24"/>
          <w:lang w:val="pt-BR"/>
        </w:rPr>
        <w:t>(</w:t>
      </w:r>
      <w:r w:rsidR="0024372F" w:rsidRPr="0024372F">
        <w:rPr>
          <w:rFonts w:cs="Times New Roman"/>
          <w:sz w:val="24"/>
          <w:szCs w:val="24"/>
          <w:lang w:val="pt-BR"/>
        </w:rPr>
        <w:t>5</w:t>
      </w:r>
      <w:r w:rsidR="0024372F" w:rsidRPr="0024372F">
        <w:rPr>
          <w:rFonts w:cs="Times New Roman" w:hint="eastAsia"/>
          <w:sz w:val="24"/>
          <w:szCs w:val="24"/>
          <w:lang w:val="pt-BR"/>
        </w:rPr>
        <w:t>)</w:t>
      </w:r>
    </w:p>
    <w:p w14:paraId="6FF99161" w14:textId="77777777" w:rsidR="0024372F" w:rsidRPr="0024372F" w:rsidRDefault="0024372F" w:rsidP="0024372F">
      <w:pPr>
        <w:spacing w:after="0" w:line="240" w:lineRule="auto"/>
        <w:jc w:val="both"/>
        <w:rPr>
          <w:rFonts w:cs="Times New Roman"/>
          <w:sz w:val="24"/>
          <w:szCs w:val="24"/>
          <w:lang w:val="pt-BR"/>
        </w:rPr>
      </w:pPr>
    </w:p>
    <w:p w14:paraId="544B1BEA" w14:textId="77777777" w:rsidR="0024372F" w:rsidRPr="0024372F" w:rsidRDefault="0024372F" w:rsidP="002027A9">
      <w:pPr>
        <w:pStyle w:val="A"/>
      </w:pPr>
      <w:r w:rsidRPr="0024372F">
        <w:t xml:space="preserve">Lastly, the </w:t>
      </w:r>
      <w:r w:rsidRPr="0024372F">
        <w:rPr>
          <w:i/>
          <w:iCs/>
        </w:rPr>
        <w:t>R</w:t>
      </w:r>
      <w:r w:rsidRPr="0024372F">
        <w:rPr>
          <w:i/>
          <w:iCs/>
          <w:vertAlign w:val="superscript"/>
        </w:rPr>
        <w:t>2</w:t>
      </w:r>
      <w:r w:rsidRPr="0024372F">
        <w:t xml:space="preserve"> =0.86 value was tested with The Standard Error Test to cross-check the value of </w:t>
      </w:r>
      <w:r w:rsidRPr="0024372F">
        <w:rPr>
          <w:i/>
          <w:iCs/>
        </w:rPr>
        <w:t>R</w:t>
      </w:r>
      <w:r w:rsidRPr="0024372F">
        <w:t xml:space="preserve"> is a significant correlation or low correlation.  </w:t>
      </w:r>
    </w:p>
    <w:p w14:paraId="607ACC94" w14:textId="77777777" w:rsidR="0024372F" w:rsidRPr="0024372F" w:rsidRDefault="0024372F" w:rsidP="0024372F">
      <w:pPr>
        <w:spacing w:after="0" w:line="240" w:lineRule="auto"/>
        <w:jc w:val="both"/>
        <w:rPr>
          <w:rFonts w:cs="Times New Roman"/>
          <w:sz w:val="24"/>
          <w:szCs w:val="24"/>
        </w:rPr>
      </w:pPr>
      <w:r w:rsidRPr="0024372F">
        <w:rPr>
          <w:rFonts w:cs="Times New Roman"/>
          <w:sz w:val="24"/>
          <w:szCs w:val="24"/>
        </w:rPr>
        <w:tab/>
      </w:r>
    </w:p>
    <w:p w14:paraId="62072B2C" w14:textId="77777777" w:rsidR="0024372F" w:rsidRPr="0024372F" w:rsidRDefault="0024372F" w:rsidP="0024372F">
      <w:pPr>
        <w:spacing w:after="0" w:line="240" w:lineRule="auto"/>
        <w:jc w:val="both"/>
        <w:rPr>
          <w:rFonts w:cs="Times New Roman"/>
          <w:b/>
          <w:bCs/>
          <w:i/>
          <w:iCs/>
          <w:sz w:val="24"/>
          <w:szCs w:val="24"/>
        </w:rPr>
      </w:pPr>
      <w:r w:rsidRPr="0024372F">
        <w:rPr>
          <w:rFonts w:cs="Times New Roman"/>
          <w:b/>
          <w:bCs/>
          <w:i/>
          <w:iCs/>
          <w:sz w:val="24"/>
          <w:szCs w:val="24"/>
        </w:rPr>
        <w:t>Standard Error Test;</w:t>
      </w:r>
    </w:p>
    <w:p w14:paraId="481015EB" w14:textId="77777777" w:rsidR="0024372F" w:rsidRPr="0024372F" w:rsidRDefault="0024372F" w:rsidP="0024372F">
      <w:pPr>
        <w:spacing w:after="0" w:line="240" w:lineRule="auto"/>
        <w:jc w:val="both"/>
        <w:rPr>
          <w:rFonts w:cs="Times New Roman"/>
          <w:sz w:val="24"/>
          <w:szCs w:val="24"/>
        </w:rPr>
      </w:pPr>
      <w:r w:rsidRPr="0024372F">
        <w:rPr>
          <w:rFonts w:cs="Times New Roman"/>
          <w:sz w:val="24"/>
          <w:szCs w:val="24"/>
        </w:rPr>
        <w:t xml:space="preserve">n =28,    </w:t>
      </w:r>
      <w:r w:rsidRPr="0024372F">
        <w:rPr>
          <w:rFonts w:cs="Times New Roman"/>
          <w:i/>
          <w:iCs/>
          <w:sz w:val="24"/>
          <w:szCs w:val="24"/>
        </w:rPr>
        <w:t>R</w:t>
      </w:r>
      <w:r w:rsidRPr="0024372F">
        <w:rPr>
          <w:rFonts w:cs="Times New Roman"/>
          <w:sz w:val="24"/>
          <w:szCs w:val="24"/>
        </w:rPr>
        <w:t xml:space="preserve"> = 0.927</w:t>
      </w:r>
    </w:p>
    <w:p w14:paraId="2C25B788" w14:textId="77777777" w:rsidR="0024372F" w:rsidRPr="0024372F" w:rsidRDefault="0024372F" w:rsidP="0024372F">
      <w:pPr>
        <w:spacing w:after="0" w:line="240" w:lineRule="auto"/>
        <w:jc w:val="both"/>
        <w:rPr>
          <w:rFonts w:cs="Times New Roman"/>
          <w:sz w:val="24"/>
          <w:szCs w:val="24"/>
        </w:rPr>
      </w:pPr>
    </w:p>
    <w:p w14:paraId="3DFEAA1B" w14:textId="77777777" w:rsidR="0024372F" w:rsidRPr="0024372F" w:rsidRDefault="0024372F" w:rsidP="002027A9">
      <w:pPr>
        <w:pStyle w:val="A"/>
      </w:pPr>
      <w:r w:rsidRPr="0024372F">
        <w:t xml:space="preserve">Here n is a total variable number of calculations as shown in Table 6, and </w:t>
      </w:r>
      <w:r w:rsidRPr="0024372F">
        <w:rPr>
          <w:i/>
          <w:iCs/>
        </w:rPr>
        <w:t>R</w:t>
      </w:r>
      <w:r w:rsidRPr="0024372F">
        <w:t xml:space="preserve"> represents a value of </w:t>
      </w:r>
      <w:r w:rsidRPr="0024372F">
        <w:rPr>
          <w:i/>
          <w:iCs/>
        </w:rPr>
        <w:t>R</w:t>
      </w:r>
      <w:r w:rsidRPr="0024372F">
        <w:rPr>
          <w:vertAlign w:val="superscript"/>
        </w:rPr>
        <w:t>2</w:t>
      </w:r>
      <w:r w:rsidRPr="0024372F">
        <w:t>. Next, these values are calculated using Equation (6), called Standard Error Test (</w:t>
      </w:r>
      <w:r w:rsidRPr="0024372F">
        <w:rPr>
          <w:i/>
          <w:iCs/>
        </w:rPr>
        <w:t>SEt</w:t>
      </w:r>
      <w:r w:rsidRPr="0024372F">
        <w:t>), followed by Probable Error Test (</w:t>
      </w:r>
      <w:r w:rsidRPr="0024372F">
        <w:rPr>
          <w:i/>
          <w:iCs/>
        </w:rPr>
        <w:t>PEt</w:t>
      </w:r>
      <w:r w:rsidRPr="0024372F">
        <w:t xml:space="preserve">), as shown in Equations (7)-(8). </w:t>
      </w:r>
    </w:p>
    <w:p w14:paraId="6DD0B582" w14:textId="77777777" w:rsidR="0024372F" w:rsidRPr="0024372F" w:rsidRDefault="0024372F" w:rsidP="0024372F">
      <w:pPr>
        <w:spacing w:after="0" w:line="240" w:lineRule="auto"/>
        <w:jc w:val="both"/>
        <w:rPr>
          <w:rFonts w:cs="Times New Roman"/>
          <w:sz w:val="24"/>
          <w:szCs w:val="24"/>
        </w:rPr>
      </w:pPr>
    </w:p>
    <w:p w14:paraId="7AD0250C" w14:textId="77777777" w:rsidR="0024372F" w:rsidRPr="0024372F" w:rsidRDefault="0024372F" w:rsidP="0024372F">
      <w:pPr>
        <w:numPr>
          <w:ilvl w:val="0"/>
          <w:numId w:val="26"/>
        </w:numPr>
        <w:spacing w:after="0" w:line="240" w:lineRule="auto"/>
        <w:jc w:val="both"/>
        <w:rPr>
          <w:rFonts w:cs="Times New Roman"/>
          <w:i/>
          <w:iCs/>
          <w:sz w:val="24"/>
          <w:szCs w:val="24"/>
          <w:lang w:val="en-US"/>
        </w:rPr>
      </w:pPr>
      <w:r w:rsidRPr="0024372F">
        <w:rPr>
          <w:rFonts w:cs="Times New Roman"/>
          <w:i/>
          <w:iCs/>
          <w:sz w:val="24"/>
          <w:szCs w:val="24"/>
          <w:lang w:val="en-US"/>
        </w:rPr>
        <w:t>Standard error of R</w:t>
      </w:r>
    </w:p>
    <w:p w14:paraId="1E2A420F" w14:textId="77777777" w:rsidR="0024372F" w:rsidRPr="0024372F" w:rsidRDefault="0024372F" w:rsidP="0024372F">
      <w:pPr>
        <w:spacing w:after="0" w:line="240" w:lineRule="auto"/>
        <w:jc w:val="both"/>
        <w:rPr>
          <w:rFonts w:cs="Times New Roman"/>
          <w:i/>
          <w:iCs/>
          <w:sz w:val="24"/>
          <w:szCs w:val="24"/>
          <w:lang w:val="en-US"/>
        </w:rPr>
      </w:pPr>
    </w:p>
    <w:p w14:paraId="5635074C" w14:textId="21C52FC6" w:rsidR="0024372F" w:rsidRPr="0024372F" w:rsidRDefault="0024372F" w:rsidP="0024372F">
      <w:pPr>
        <w:spacing w:after="0" w:line="240" w:lineRule="auto"/>
        <w:jc w:val="both"/>
        <w:rPr>
          <w:rFonts w:cs="Times New Roman"/>
          <w:sz w:val="24"/>
          <w:szCs w:val="24"/>
        </w:rPr>
      </w:pPr>
      <w:r w:rsidRPr="0024372F">
        <w:rPr>
          <w:rFonts w:cs="Times New Roman"/>
          <w:i/>
          <w:iCs/>
          <w:sz w:val="24"/>
          <w:szCs w:val="24"/>
          <w:lang w:val="en-US"/>
        </w:rPr>
        <w:t>SEr</w:t>
      </w:r>
      <m:oMath>
        <m:r>
          <w:rPr>
            <w:rFonts w:ascii="Cambria Math" w:hAnsi="Cambria Math" w:cs="Times New Roman"/>
            <w:sz w:val="24"/>
            <w:szCs w:val="24"/>
            <w:lang w:val="en-US"/>
          </w:rPr>
          <m:t>=s</m:t>
        </m:r>
      </m:oMath>
      <w:r w:rsidRPr="0024372F">
        <w:rPr>
          <w:rFonts w:cs="Times New Roman"/>
          <w:sz w:val="24"/>
          <w:szCs w:val="24"/>
          <w:lang w:val="en-US"/>
        </w:rPr>
        <w:t xml:space="preserve"> = </w:t>
      </w:r>
      <m:oMath>
        <m:f>
          <m:fPr>
            <m:ctrlPr>
              <w:rPr>
                <w:rFonts w:ascii="Cambria Math" w:hAnsi="Cambria Math" w:cs="Times New Roman"/>
                <w:i/>
                <w:iCs/>
                <w:sz w:val="24"/>
                <w:szCs w:val="24"/>
                <w:lang w:val="en-US"/>
              </w:rPr>
            </m:ctrlPr>
          </m:fPr>
          <m:num>
            <m:d>
              <m:dPr>
                <m:ctrlPr>
                  <w:rPr>
                    <w:rFonts w:ascii="Cambria Math" w:hAnsi="Cambria Math" w:cs="Times New Roman"/>
                    <w:i/>
                    <w:iCs/>
                    <w:sz w:val="24"/>
                    <w:szCs w:val="24"/>
                    <w:lang w:val="en-US"/>
                  </w:rPr>
                </m:ctrlPr>
              </m:dPr>
              <m:e>
                <m:r>
                  <w:rPr>
                    <w:rFonts w:ascii="Cambria Math" w:hAnsi="Cambria Math" w:cs="Times New Roman"/>
                    <w:sz w:val="24"/>
                    <w:szCs w:val="24"/>
                    <w:lang w:val="en-US"/>
                  </w:rPr>
                  <m:t>1-</m:t>
                </m:r>
                <m:sSup>
                  <m:sSupPr>
                    <m:ctrlPr>
                      <w:rPr>
                        <w:rFonts w:ascii="Cambria Math" w:hAnsi="Cambria Math" w:cs="Times New Roman"/>
                        <w:i/>
                        <w:iCs/>
                        <w:sz w:val="24"/>
                        <w:szCs w:val="24"/>
                        <w:lang w:val="pt-BR"/>
                      </w:rPr>
                    </m:ctrlPr>
                  </m:sSupPr>
                  <m:e>
                    <m:r>
                      <w:rPr>
                        <w:rFonts w:ascii="Cambria Math" w:hAnsi="Cambria Math" w:cs="Times New Roman"/>
                        <w:sz w:val="24"/>
                        <w:szCs w:val="24"/>
                        <w:lang w:val="en-US"/>
                      </w:rPr>
                      <m:t>0.927</m:t>
                    </m:r>
                  </m:e>
                  <m:sup>
                    <m:r>
                      <w:rPr>
                        <w:rFonts w:ascii="Cambria Math" w:hAnsi="Cambria Math" w:cs="Times New Roman"/>
                        <w:sz w:val="24"/>
                        <w:szCs w:val="24"/>
                        <w:lang w:val="pt-BR"/>
                      </w:rPr>
                      <m:t>2</m:t>
                    </m:r>
                  </m:sup>
                </m:sSup>
              </m:e>
            </m:d>
          </m:num>
          <m:den>
            <m:r>
              <w:rPr>
                <w:rFonts w:ascii="Cambria Math" w:hAnsi="Cambria Math" w:cs="Times New Roman"/>
                <w:sz w:val="24"/>
                <w:szCs w:val="24"/>
                <w:lang w:val="en-US"/>
              </w:rPr>
              <m:t>√28</m:t>
            </m:r>
          </m:den>
        </m:f>
      </m:oMath>
      <w:r w:rsidRPr="0024372F">
        <w:rPr>
          <w:rFonts w:cs="Times New Roman"/>
          <w:iCs/>
          <w:sz w:val="24"/>
          <w:szCs w:val="24"/>
          <w:lang w:val="en-US"/>
        </w:rPr>
        <w:t xml:space="preserve"> </w:t>
      </w:r>
      <m:oMath>
        <m:r>
          <w:rPr>
            <w:rFonts w:ascii="Cambria Math" w:hAnsi="Cambria Math" w:cs="Times New Roman"/>
            <w:sz w:val="24"/>
            <w:szCs w:val="24"/>
            <w:lang w:val="en-US"/>
          </w:rPr>
          <m:t xml:space="preserve"> </m:t>
        </m:r>
        <m:r>
          <w:rPr>
            <w:rFonts w:ascii="Cambria Math" w:hAnsi="Cambria Math" w:cs="Times New Roman"/>
            <w:sz w:val="24"/>
            <w:szCs w:val="24"/>
            <w:u w:val="single"/>
          </w:rPr>
          <m:t>=0.026</m:t>
        </m:r>
      </m:oMath>
      <w:r w:rsidRPr="0024372F">
        <w:rPr>
          <w:rFonts w:cs="Times New Roman"/>
          <w:iCs/>
          <w:sz w:val="24"/>
          <w:szCs w:val="24"/>
        </w:rPr>
        <w:tab/>
      </w:r>
      <w:r w:rsidRPr="0024372F">
        <w:rPr>
          <w:rFonts w:cs="Times New Roman"/>
          <w:iCs/>
          <w:sz w:val="24"/>
          <w:szCs w:val="24"/>
        </w:rPr>
        <w:tab/>
      </w:r>
      <w:r w:rsidRPr="0024372F">
        <w:rPr>
          <w:rFonts w:cs="Times New Roman"/>
          <w:sz w:val="24"/>
          <w:szCs w:val="24"/>
        </w:rPr>
        <w:t xml:space="preserve"> </w:t>
      </w:r>
      <w:r w:rsidRPr="0024372F">
        <w:rPr>
          <w:rFonts w:cs="Times New Roman" w:hint="eastAsia"/>
          <w:sz w:val="24"/>
          <w:szCs w:val="24"/>
        </w:rPr>
        <w:tab/>
      </w:r>
      <w:r w:rsidRPr="0024372F">
        <w:rPr>
          <w:rFonts w:cs="Times New Roman" w:hint="eastAsia"/>
          <w:sz w:val="24"/>
          <w:szCs w:val="24"/>
        </w:rPr>
        <w:tab/>
        <w:t xml:space="preserve">  </w:t>
      </w:r>
      <w:r w:rsidRPr="0024372F">
        <w:rPr>
          <w:rFonts w:cs="Times New Roman"/>
          <w:sz w:val="24"/>
          <w:szCs w:val="24"/>
        </w:rPr>
        <w:t xml:space="preserve"> </w:t>
      </w:r>
      <w:r w:rsidRPr="0024372F">
        <w:rPr>
          <w:rFonts w:cs="Times New Roman" w:hint="eastAsia"/>
          <w:sz w:val="24"/>
          <w:szCs w:val="24"/>
        </w:rPr>
        <w:t xml:space="preserve"> </w:t>
      </w:r>
      <w:r w:rsidRPr="0024372F">
        <w:rPr>
          <w:rFonts w:cs="Times New Roman"/>
          <w:sz w:val="24"/>
          <w:szCs w:val="24"/>
        </w:rPr>
        <w:t xml:space="preserve">                     </w:t>
      </w:r>
      <w:r w:rsidR="000B33ED">
        <w:rPr>
          <w:rFonts w:cs="Times New Roman"/>
          <w:sz w:val="24"/>
          <w:szCs w:val="24"/>
        </w:rPr>
        <w:tab/>
      </w:r>
      <w:r w:rsidR="000B33ED">
        <w:rPr>
          <w:rFonts w:cs="Times New Roman"/>
          <w:sz w:val="24"/>
          <w:szCs w:val="24"/>
        </w:rPr>
        <w:tab/>
      </w:r>
      <w:r w:rsidR="000B33ED">
        <w:rPr>
          <w:rFonts w:cs="Times New Roman"/>
          <w:sz w:val="24"/>
          <w:szCs w:val="24"/>
        </w:rPr>
        <w:tab/>
      </w:r>
      <w:r w:rsidR="000B33ED">
        <w:rPr>
          <w:rFonts w:cs="Times New Roman"/>
          <w:sz w:val="24"/>
          <w:szCs w:val="24"/>
        </w:rPr>
        <w:tab/>
      </w:r>
      <w:r w:rsidR="000B33ED">
        <w:rPr>
          <w:rFonts w:cs="Times New Roman"/>
          <w:sz w:val="24"/>
          <w:szCs w:val="24"/>
        </w:rPr>
        <w:tab/>
        <w:t xml:space="preserve"> </w:t>
      </w:r>
      <w:r w:rsidRPr="0024372F">
        <w:rPr>
          <w:rFonts w:cs="Times New Roman"/>
          <w:sz w:val="24"/>
          <w:szCs w:val="24"/>
        </w:rPr>
        <w:t xml:space="preserve"> </w:t>
      </w:r>
      <w:r w:rsidRPr="0024372F">
        <w:rPr>
          <w:rFonts w:cs="Times New Roman" w:hint="eastAsia"/>
          <w:sz w:val="24"/>
          <w:szCs w:val="24"/>
        </w:rPr>
        <w:t>(</w:t>
      </w:r>
      <w:r w:rsidRPr="0024372F">
        <w:rPr>
          <w:rFonts w:cs="Times New Roman"/>
          <w:sz w:val="24"/>
          <w:szCs w:val="24"/>
        </w:rPr>
        <w:t>6</w:t>
      </w:r>
      <w:r w:rsidRPr="0024372F">
        <w:rPr>
          <w:rFonts w:cs="Times New Roman" w:hint="eastAsia"/>
          <w:sz w:val="24"/>
          <w:szCs w:val="24"/>
        </w:rPr>
        <w:t>)</w:t>
      </w:r>
    </w:p>
    <w:p w14:paraId="4B65E43F" w14:textId="77777777" w:rsidR="0024372F" w:rsidRPr="0024372F" w:rsidRDefault="0024372F" w:rsidP="0024372F">
      <w:pPr>
        <w:spacing w:after="0" w:line="240" w:lineRule="auto"/>
        <w:jc w:val="both"/>
        <w:rPr>
          <w:rFonts w:cs="Times New Roman"/>
          <w:sz w:val="24"/>
          <w:szCs w:val="24"/>
        </w:rPr>
      </w:pPr>
    </w:p>
    <w:p w14:paraId="1EF22579" w14:textId="7055C0F4" w:rsidR="0024372F" w:rsidRDefault="0024372F" w:rsidP="0024372F">
      <w:pPr>
        <w:numPr>
          <w:ilvl w:val="0"/>
          <w:numId w:val="26"/>
        </w:numPr>
        <w:spacing w:after="0" w:line="240" w:lineRule="auto"/>
        <w:jc w:val="both"/>
        <w:rPr>
          <w:rFonts w:cs="Times New Roman"/>
          <w:i/>
          <w:iCs/>
          <w:sz w:val="24"/>
          <w:szCs w:val="24"/>
          <w:lang w:val="en-US"/>
        </w:rPr>
      </w:pPr>
      <w:r w:rsidRPr="0024372F">
        <w:rPr>
          <w:rFonts w:cs="Times New Roman"/>
          <w:i/>
          <w:iCs/>
          <w:sz w:val="24"/>
          <w:szCs w:val="24"/>
          <w:lang w:val="en-US"/>
        </w:rPr>
        <w:t>Probable Error</w:t>
      </w:r>
    </w:p>
    <w:p w14:paraId="24D84588" w14:textId="77777777" w:rsidR="000B33ED" w:rsidRPr="0024372F" w:rsidRDefault="000B33ED" w:rsidP="000B33ED">
      <w:pPr>
        <w:spacing w:after="0" w:line="240" w:lineRule="auto"/>
        <w:ind w:left="1080"/>
        <w:jc w:val="both"/>
        <w:rPr>
          <w:rFonts w:cs="Times New Roman"/>
          <w:i/>
          <w:iCs/>
          <w:sz w:val="24"/>
          <w:szCs w:val="24"/>
          <w:lang w:val="en-US"/>
        </w:rPr>
      </w:pPr>
    </w:p>
    <w:p w14:paraId="4A944B9A" w14:textId="093C081D" w:rsidR="0024372F" w:rsidRPr="0024372F" w:rsidRDefault="0024372F" w:rsidP="0024372F">
      <w:pPr>
        <w:spacing w:after="0" w:line="240" w:lineRule="auto"/>
        <w:jc w:val="both"/>
        <w:rPr>
          <w:rFonts w:cs="Times New Roman"/>
          <w:sz w:val="24"/>
          <w:szCs w:val="24"/>
          <w:lang w:val="en-US"/>
        </w:rPr>
      </w:pPr>
      <w:r w:rsidRPr="0024372F">
        <w:rPr>
          <w:rFonts w:cs="Times New Roman"/>
          <w:i/>
          <w:iCs/>
          <w:sz w:val="24"/>
          <w:szCs w:val="24"/>
          <w:lang w:val="en-US"/>
        </w:rPr>
        <w:t>PEr</w:t>
      </w:r>
      <w:r w:rsidRPr="0024372F">
        <w:rPr>
          <w:rFonts w:cs="Times New Roman"/>
          <w:sz w:val="24"/>
          <w:szCs w:val="24"/>
          <w:lang w:val="en-US"/>
        </w:rPr>
        <w:t xml:space="preserve"> = 0.6745 * </w:t>
      </w:r>
      <m:oMath>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m:t>
                </m:r>
                <m:sSup>
                  <m:sSupPr>
                    <m:ctrlPr>
                      <w:rPr>
                        <w:rFonts w:ascii="Cambria Math" w:hAnsi="Cambria Math" w:cs="Times New Roman"/>
                        <w:sz w:val="24"/>
                        <w:szCs w:val="24"/>
                        <w:lang w:val="pt-BR"/>
                      </w:rPr>
                    </m:ctrlPr>
                  </m:sSupPr>
                  <m:e>
                    <m:r>
                      <m:rPr>
                        <m:sty m:val="p"/>
                      </m:rPr>
                      <w:rPr>
                        <w:rFonts w:ascii="Cambria Math" w:hAnsi="Cambria Math" w:cs="Times New Roman"/>
                        <w:sz w:val="24"/>
                        <w:szCs w:val="24"/>
                        <w:lang w:val="en-US"/>
                      </w:rPr>
                      <m:t>r</m:t>
                    </m:r>
                  </m:e>
                  <m:sup>
                    <m:r>
                      <m:rPr>
                        <m:sty m:val="p"/>
                      </m:rPr>
                      <w:rPr>
                        <w:rFonts w:ascii="Cambria Math" w:hAnsi="Cambria Math" w:cs="Times New Roman"/>
                        <w:sz w:val="24"/>
                        <w:szCs w:val="24"/>
                        <w:lang w:val="pt-BR"/>
                      </w:rPr>
                      <m:t>2</m:t>
                    </m:r>
                  </m:sup>
                </m:sSup>
              </m:e>
            </m:d>
          </m:num>
          <m:den>
            <m:r>
              <m:rPr>
                <m:sty m:val="p"/>
              </m:rPr>
              <w:rPr>
                <w:rFonts w:ascii="Cambria Math" w:hAnsi="Cambria Math" w:cs="Times New Roman"/>
                <w:sz w:val="24"/>
                <w:szCs w:val="24"/>
                <w:lang w:val="en-US"/>
              </w:rPr>
              <m:t>√n</m:t>
            </m:r>
          </m:den>
        </m:f>
      </m:oMath>
      <w:r w:rsidRPr="0024372F">
        <w:rPr>
          <w:rFonts w:cs="Times New Roman"/>
          <w:sz w:val="24"/>
          <w:szCs w:val="24"/>
          <w:lang w:val="en-US"/>
        </w:rPr>
        <w:t xml:space="preserve">                                              </w:t>
      </w:r>
      <w:r w:rsidRPr="0024372F">
        <w:rPr>
          <w:rFonts w:cs="Times New Roman"/>
          <w:sz w:val="24"/>
          <w:szCs w:val="24"/>
          <w:lang w:val="en-US"/>
        </w:rPr>
        <w:tab/>
      </w:r>
      <w:r w:rsidRPr="0024372F">
        <w:rPr>
          <w:rFonts w:cs="Times New Roman"/>
          <w:sz w:val="24"/>
          <w:szCs w:val="24"/>
          <w:lang w:val="en-US"/>
        </w:rPr>
        <w:tab/>
        <w:t xml:space="preserve">             </w:t>
      </w:r>
      <w:r w:rsidR="000B33ED">
        <w:rPr>
          <w:rFonts w:cs="Times New Roman"/>
          <w:sz w:val="24"/>
          <w:szCs w:val="24"/>
          <w:lang w:val="en-US"/>
        </w:rPr>
        <w:tab/>
      </w:r>
      <w:r w:rsidR="000B33ED">
        <w:rPr>
          <w:rFonts w:cs="Times New Roman"/>
          <w:sz w:val="24"/>
          <w:szCs w:val="24"/>
          <w:lang w:val="en-US"/>
        </w:rPr>
        <w:tab/>
      </w:r>
      <w:r w:rsidR="000B33ED">
        <w:rPr>
          <w:rFonts w:cs="Times New Roman"/>
          <w:sz w:val="24"/>
          <w:szCs w:val="24"/>
          <w:lang w:val="en-US"/>
        </w:rPr>
        <w:tab/>
      </w:r>
      <w:r w:rsidR="000B33ED">
        <w:rPr>
          <w:rFonts w:cs="Times New Roman"/>
          <w:sz w:val="24"/>
          <w:szCs w:val="24"/>
          <w:lang w:val="en-US"/>
        </w:rPr>
        <w:tab/>
      </w:r>
      <w:r w:rsidR="000B33ED">
        <w:rPr>
          <w:rFonts w:cs="Times New Roman"/>
          <w:sz w:val="24"/>
          <w:szCs w:val="24"/>
          <w:lang w:val="en-US"/>
        </w:rPr>
        <w:tab/>
        <w:t xml:space="preserve">  </w:t>
      </w:r>
      <w:r w:rsidRPr="0024372F">
        <w:rPr>
          <w:rFonts w:cs="Times New Roman"/>
          <w:sz w:val="24"/>
          <w:szCs w:val="24"/>
          <w:lang w:val="pt-BR"/>
        </w:rPr>
        <w:t>(7)</w:t>
      </w:r>
    </w:p>
    <w:p w14:paraId="36253913" w14:textId="77777777" w:rsidR="0024372F" w:rsidRPr="0024372F" w:rsidRDefault="0024372F" w:rsidP="0024372F">
      <w:pPr>
        <w:spacing w:after="0" w:line="240" w:lineRule="auto"/>
        <w:jc w:val="both"/>
        <w:rPr>
          <w:rFonts w:cs="Times New Roman"/>
          <w:sz w:val="24"/>
          <w:szCs w:val="24"/>
          <w:lang w:val="en-US"/>
        </w:rPr>
      </w:pPr>
    </w:p>
    <w:p w14:paraId="4D0B577B" w14:textId="77777777" w:rsidR="0024372F" w:rsidRPr="0024372F" w:rsidRDefault="0024372F" w:rsidP="0024372F">
      <w:pPr>
        <w:spacing w:after="0" w:line="240" w:lineRule="auto"/>
        <w:jc w:val="both"/>
        <w:rPr>
          <w:rFonts w:cs="Times New Roman"/>
          <w:sz w:val="24"/>
          <w:szCs w:val="24"/>
          <w:lang w:val="en-US"/>
        </w:rPr>
      </w:pPr>
      <w:r w:rsidRPr="0024372F">
        <w:rPr>
          <w:rFonts w:cs="Times New Roman"/>
          <w:i/>
          <w:iCs/>
          <w:sz w:val="24"/>
          <w:szCs w:val="24"/>
          <w:lang w:val="en-US"/>
        </w:rPr>
        <w:t>PE</w:t>
      </w:r>
      <w:r w:rsidRPr="0024372F">
        <w:rPr>
          <w:rFonts w:cs="Times New Roman"/>
          <w:i/>
          <w:sz w:val="24"/>
          <w:szCs w:val="24"/>
          <w:lang w:val="en-US"/>
        </w:rPr>
        <w:t>r</w:t>
      </w:r>
      <w:r w:rsidRPr="0024372F">
        <w:rPr>
          <w:rFonts w:cs="Times New Roman"/>
          <w:sz w:val="24"/>
          <w:szCs w:val="24"/>
          <w:lang w:val="en-US"/>
        </w:rPr>
        <w:t xml:space="preserve"> = 0.0175</w:t>
      </w:r>
    </w:p>
    <w:p w14:paraId="4727F1C2" w14:textId="77777777" w:rsidR="0024372F" w:rsidRPr="0024372F" w:rsidRDefault="0024372F" w:rsidP="0024372F">
      <w:pPr>
        <w:spacing w:after="0" w:line="240" w:lineRule="auto"/>
        <w:jc w:val="both"/>
        <w:rPr>
          <w:rFonts w:cs="Times New Roman"/>
          <w:i/>
          <w:iCs/>
          <w:sz w:val="24"/>
          <w:szCs w:val="24"/>
        </w:rPr>
      </w:pPr>
    </w:p>
    <w:p w14:paraId="627284C7" w14:textId="77777777" w:rsidR="0024372F" w:rsidRPr="0024372F" w:rsidRDefault="0024372F" w:rsidP="0024372F">
      <w:pPr>
        <w:numPr>
          <w:ilvl w:val="0"/>
          <w:numId w:val="26"/>
        </w:numPr>
        <w:spacing w:after="0" w:line="240" w:lineRule="auto"/>
        <w:jc w:val="both"/>
        <w:rPr>
          <w:rFonts w:cs="Times New Roman"/>
          <w:i/>
          <w:iCs/>
          <w:sz w:val="24"/>
          <w:szCs w:val="24"/>
          <w:lang w:val="en-US"/>
        </w:rPr>
      </w:pPr>
      <w:r w:rsidRPr="0024372F">
        <w:rPr>
          <w:rFonts w:cs="Times New Roman"/>
          <w:i/>
          <w:iCs/>
          <w:sz w:val="24"/>
          <w:szCs w:val="24"/>
          <w:lang w:val="en-US"/>
        </w:rPr>
        <w:t>The limit of the spectral value of R;</w:t>
      </w:r>
    </w:p>
    <w:p w14:paraId="5E5CB64F" w14:textId="77777777" w:rsidR="0024372F" w:rsidRPr="0024372F" w:rsidRDefault="0024372F" w:rsidP="0024372F">
      <w:pPr>
        <w:spacing w:after="0" w:line="240" w:lineRule="auto"/>
        <w:jc w:val="both"/>
        <w:rPr>
          <w:rFonts w:cs="Times New Roman"/>
          <w:i/>
          <w:iCs/>
          <w:sz w:val="24"/>
          <w:szCs w:val="24"/>
          <w:lang w:val="en-US"/>
        </w:rPr>
      </w:pPr>
    </w:p>
    <w:p w14:paraId="25CAE3BF" w14:textId="46157B07" w:rsidR="0024372F" w:rsidRDefault="0024372F" w:rsidP="0024372F">
      <w:pPr>
        <w:spacing w:after="0" w:line="240" w:lineRule="auto"/>
        <w:jc w:val="both"/>
        <w:rPr>
          <w:rFonts w:cs="Times New Roman"/>
          <w:sz w:val="24"/>
          <w:szCs w:val="24"/>
          <w:lang w:val="pt-BR"/>
        </w:rPr>
      </w:pPr>
      <w:r w:rsidRPr="0024372F">
        <w:rPr>
          <w:rFonts w:cs="Times New Roman"/>
          <w:i/>
          <w:iCs/>
          <w:sz w:val="24"/>
          <w:szCs w:val="24"/>
          <w:lang w:val="en-US"/>
        </w:rPr>
        <w:t xml:space="preserve">R </w:t>
      </w:r>
      <w:r w:rsidRPr="0024372F">
        <w:rPr>
          <w:rFonts w:cs="Times New Roman"/>
          <w:iCs/>
          <w:sz w:val="24"/>
          <w:szCs w:val="24"/>
          <w:lang w:val="en-US"/>
        </w:rPr>
        <w:t>&gt; 6</w:t>
      </w:r>
      <w:r w:rsidRPr="0024372F">
        <w:rPr>
          <w:rFonts w:cs="Times New Roman"/>
          <w:i/>
          <w:sz w:val="24"/>
          <w:szCs w:val="24"/>
          <w:lang w:val="en-US"/>
        </w:rPr>
        <w:t>PE</w:t>
      </w:r>
      <w:r w:rsidRPr="0024372F">
        <w:rPr>
          <w:rFonts w:cs="Times New Roman"/>
          <w:i/>
          <w:iCs/>
          <w:sz w:val="24"/>
          <w:szCs w:val="24"/>
          <w:lang w:val="en-US"/>
        </w:rPr>
        <w:t xml:space="preserve">r </w:t>
      </w:r>
      <w:r w:rsidRPr="0024372F">
        <w:rPr>
          <w:rFonts w:cs="Times New Roman"/>
          <w:i/>
          <w:iCs/>
          <w:sz w:val="24"/>
          <w:szCs w:val="24"/>
          <w:lang w:val="en-US"/>
        </w:rPr>
        <w:tab/>
      </w:r>
      <w:r w:rsidRPr="0024372F">
        <w:rPr>
          <w:rFonts w:cs="Times New Roman"/>
          <w:i/>
          <w:iCs/>
          <w:sz w:val="24"/>
          <w:szCs w:val="24"/>
          <w:lang w:val="en-US"/>
        </w:rPr>
        <w:tab/>
        <w:t xml:space="preserve">                           </w:t>
      </w:r>
      <w:r w:rsidRPr="0024372F">
        <w:rPr>
          <w:rFonts w:cs="Times New Roman"/>
          <w:i/>
          <w:iCs/>
          <w:sz w:val="24"/>
          <w:szCs w:val="24"/>
          <w:lang w:val="en-US"/>
        </w:rPr>
        <w:tab/>
      </w:r>
      <w:r w:rsidRPr="0024372F">
        <w:rPr>
          <w:rFonts w:cs="Times New Roman"/>
          <w:i/>
          <w:iCs/>
          <w:sz w:val="24"/>
          <w:szCs w:val="24"/>
          <w:lang w:val="en-US"/>
        </w:rPr>
        <w:tab/>
      </w:r>
      <w:r w:rsidRPr="0024372F">
        <w:rPr>
          <w:rFonts w:cs="Times New Roman"/>
          <w:i/>
          <w:iCs/>
          <w:sz w:val="24"/>
          <w:szCs w:val="24"/>
          <w:lang w:val="en-US"/>
        </w:rPr>
        <w:tab/>
      </w:r>
      <w:r w:rsidRPr="0024372F">
        <w:rPr>
          <w:rFonts w:cs="Times New Roman"/>
          <w:i/>
          <w:iCs/>
          <w:sz w:val="24"/>
          <w:szCs w:val="24"/>
          <w:lang w:val="en-US"/>
        </w:rPr>
        <w:tab/>
      </w:r>
      <w:r w:rsidR="000B33ED">
        <w:rPr>
          <w:rFonts w:cs="Times New Roman"/>
          <w:i/>
          <w:iCs/>
          <w:sz w:val="24"/>
          <w:szCs w:val="24"/>
          <w:lang w:val="en-US"/>
        </w:rPr>
        <w:tab/>
      </w:r>
      <w:r w:rsidR="000B33ED">
        <w:rPr>
          <w:rFonts w:cs="Times New Roman"/>
          <w:i/>
          <w:iCs/>
          <w:sz w:val="24"/>
          <w:szCs w:val="24"/>
          <w:lang w:val="en-US"/>
        </w:rPr>
        <w:tab/>
      </w:r>
      <w:r w:rsidR="000B33ED">
        <w:rPr>
          <w:rFonts w:cs="Times New Roman"/>
          <w:i/>
          <w:iCs/>
          <w:sz w:val="24"/>
          <w:szCs w:val="24"/>
          <w:lang w:val="en-US"/>
        </w:rPr>
        <w:tab/>
      </w:r>
      <w:r w:rsidR="000B33ED">
        <w:rPr>
          <w:rFonts w:cs="Times New Roman"/>
          <w:i/>
          <w:iCs/>
          <w:sz w:val="24"/>
          <w:szCs w:val="24"/>
          <w:lang w:val="en-US"/>
        </w:rPr>
        <w:tab/>
        <w:t xml:space="preserve"> </w:t>
      </w:r>
      <w:r w:rsidRPr="0024372F">
        <w:rPr>
          <w:rFonts w:cs="Times New Roman"/>
          <w:i/>
          <w:iCs/>
          <w:sz w:val="24"/>
          <w:szCs w:val="24"/>
          <w:lang w:val="en-US"/>
        </w:rPr>
        <w:t xml:space="preserve"> </w:t>
      </w:r>
      <w:r w:rsidRPr="0024372F">
        <w:rPr>
          <w:rFonts w:cs="Times New Roman"/>
          <w:sz w:val="24"/>
          <w:szCs w:val="24"/>
          <w:lang w:val="pt-BR"/>
        </w:rPr>
        <w:t>(8)</w:t>
      </w:r>
    </w:p>
    <w:p w14:paraId="411DA33E" w14:textId="77777777" w:rsidR="000B33ED" w:rsidRPr="0024372F" w:rsidRDefault="000B33ED" w:rsidP="0024372F">
      <w:pPr>
        <w:spacing w:after="0" w:line="240" w:lineRule="auto"/>
        <w:jc w:val="both"/>
        <w:rPr>
          <w:rFonts w:cs="Times New Roman"/>
          <w:i/>
          <w:iCs/>
          <w:sz w:val="24"/>
          <w:szCs w:val="24"/>
          <w:lang w:val="en-US"/>
        </w:rPr>
      </w:pPr>
    </w:p>
    <w:p w14:paraId="738FD134" w14:textId="290C6A5A" w:rsidR="0024372F" w:rsidRDefault="0024372F" w:rsidP="0024372F">
      <w:pPr>
        <w:spacing w:after="0" w:line="240" w:lineRule="auto"/>
        <w:jc w:val="both"/>
        <w:rPr>
          <w:rFonts w:cs="Times New Roman"/>
          <w:b/>
          <w:bCs/>
          <w:iCs/>
          <w:sz w:val="24"/>
          <w:szCs w:val="24"/>
          <w:lang w:val="en-MY"/>
        </w:rPr>
      </w:pPr>
      <w:r w:rsidRPr="0024372F">
        <w:rPr>
          <w:rFonts w:cs="Times New Roman"/>
          <w:iCs/>
          <w:sz w:val="24"/>
          <w:szCs w:val="24"/>
          <w:lang w:val="en-US"/>
        </w:rPr>
        <w:t>6</w:t>
      </w:r>
      <w:r w:rsidRPr="0024372F">
        <w:rPr>
          <w:rFonts w:cs="Times New Roman"/>
          <w:i/>
          <w:sz w:val="24"/>
          <w:szCs w:val="24"/>
          <w:lang w:val="en-US"/>
        </w:rPr>
        <w:t>PE</w:t>
      </w:r>
      <w:r w:rsidRPr="0024372F">
        <w:rPr>
          <w:rFonts w:cs="Times New Roman"/>
          <w:i/>
          <w:iCs/>
          <w:sz w:val="24"/>
          <w:szCs w:val="24"/>
          <w:lang w:val="en-US"/>
        </w:rPr>
        <w:t>r</w:t>
      </w:r>
      <w:r w:rsidRPr="0024372F">
        <w:rPr>
          <w:rFonts w:cs="Times New Roman"/>
          <w:iCs/>
          <w:sz w:val="24"/>
          <w:szCs w:val="24"/>
          <w:lang w:val="en-US"/>
        </w:rPr>
        <w:t xml:space="preserve"> = 6 (0.0175) = 0.105  </w:t>
      </w:r>
      <w:r w:rsidRPr="0024372F">
        <w:rPr>
          <w:rFonts w:cs="Times New Roman"/>
          <w:b/>
          <w:bCs/>
          <w:iCs/>
          <w:sz w:val="24"/>
          <w:szCs w:val="24"/>
          <w:lang w:val="en-MY"/>
        </w:rPr>
        <w:t xml:space="preserve"> = 0.927 &gt; 0.105  </w:t>
      </w:r>
    </w:p>
    <w:p w14:paraId="5C58B697" w14:textId="77777777" w:rsidR="000B33ED" w:rsidRPr="0024372F" w:rsidRDefault="000B33ED" w:rsidP="0024372F">
      <w:pPr>
        <w:spacing w:after="0" w:line="240" w:lineRule="auto"/>
        <w:jc w:val="both"/>
        <w:rPr>
          <w:rFonts w:cs="Times New Roman"/>
          <w:iCs/>
          <w:sz w:val="24"/>
          <w:szCs w:val="24"/>
          <w:lang w:val="en-US"/>
        </w:rPr>
      </w:pPr>
    </w:p>
    <w:p w14:paraId="6F59A848" w14:textId="77777777" w:rsidR="0024372F" w:rsidRPr="0024372F" w:rsidRDefault="0024372F" w:rsidP="000B33ED">
      <w:pPr>
        <w:spacing w:after="0" w:line="240" w:lineRule="auto"/>
        <w:jc w:val="center"/>
        <w:rPr>
          <w:rFonts w:cs="Times New Roman"/>
          <w:sz w:val="24"/>
          <w:szCs w:val="24"/>
        </w:rPr>
      </w:pPr>
      <w:r w:rsidRPr="0024372F">
        <w:rPr>
          <w:rFonts w:cs="Times New Roman"/>
          <w:noProof/>
          <w:sz w:val="24"/>
          <w:szCs w:val="24"/>
        </w:rPr>
        <w:lastRenderedPageBreak/>
        <w:drawing>
          <wp:inline distT="0" distB="0" distL="0" distR="0" wp14:anchorId="0080ED52" wp14:editId="6D1D1CDB">
            <wp:extent cx="5791200" cy="2651760"/>
            <wp:effectExtent l="0" t="0" r="0" b="15240"/>
            <wp:docPr id="14" name="Chart 14">
              <a:extLst xmlns:a="http://schemas.openxmlformats.org/drawingml/2006/main">
                <a:ext uri="{FF2B5EF4-FFF2-40B4-BE49-F238E27FC236}">
                  <a16:creationId xmlns:a16="http://schemas.microsoft.com/office/drawing/2014/main" id="{786D0572-0774-1BE0-E3A7-CAD837FC6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0E88DC" w14:textId="081154F9" w:rsidR="0024372F" w:rsidRPr="000B33ED" w:rsidRDefault="0024372F" w:rsidP="000B33ED">
      <w:pPr>
        <w:spacing w:after="0" w:line="240" w:lineRule="auto"/>
        <w:ind w:left="360" w:right="296"/>
        <w:jc w:val="both"/>
        <w:rPr>
          <w:rFonts w:cs="Times New Roman"/>
          <w:lang w:val="en-MY"/>
        </w:rPr>
      </w:pPr>
      <w:r w:rsidRPr="000B33ED">
        <w:rPr>
          <w:rFonts w:cs="Times New Roman"/>
          <w:b/>
          <w:bCs/>
          <w:lang w:val="en-MY"/>
        </w:rPr>
        <w:t>Fig.</w:t>
      </w:r>
      <w:r w:rsidR="000B33ED" w:rsidRPr="000B33ED">
        <w:rPr>
          <w:rFonts w:cs="Times New Roman"/>
          <w:b/>
          <w:bCs/>
          <w:lang w:val="en-MY"/>
        </w:rPr>
        <w:t xml:space="preserve"> </w:t>
      </w:r>
      <w:r w:rsidRPr="000B33ED">
        <w:rPr>
          <w:rFonts w:cs="Times New Roman"/>
          <w:b/>
          <w:bCs/>
          <w:lang w:val="en-MY"/>
        </w:rPr>
        <w:t>6</w:t>
      </w:r>
      <w:r w:rsidRPr="000B33ED">
        <w:rPr>
          <w:rFonts w:cs="Times New Roman"/>
          <w:lang w:val="en-MY"/>
        </w:rPr>
        <w:t xml:space="preserve">. Spectral plot of four VIs algorithms (NDVI, DVI, RDVI, and MSAVI) by comparing the </w:t>
      </w:r>
      <w:r w:rsidRPr="000B33ED">
        <w:rPr>
          <w:rFonts w:cs="Times New Roman"/>
          <w:i/>
          <w:iCs/>
          <w:lang w:val="en-MY"/>
        </w:rPr>
        <w:t>R</w:t>
      </w:r>
      <w:r w:rsidRPr="000B33ED">
        <w:rPr>
          <w:rFonts w:cs="Times New Roman"/>
          <w:vertAlign w:val="superscript"/>
          <w:lang w:val="en-MY"/>
        </w:rPr>
        <w:t>2</w:t>
      </w:r>
      <w:r w:rsidRPr="000B33ED">
        <w:rPr>
          <w:rFonts w:cs="Times New Roman"/>
          <w:lang w:val="en-MY"/>
        </w:rPr>
        <w:t xml:space="preserve"> values before and after applying the CEE method</w:t>
      </w:r>
    </w:p>
    <w:p w14:paraId="79ABB12F" w14:textId="6EB62144" w:rsidR="0024372F" w:rsidRPr="0024372F" w:rsidRDefault="0024372F" w:rsidP="0024372F">
      <w:pPr>
        <w:spacing w:after="0" w:line="240" w:lineRule="auto"/>
        <w:jc w:val="both"/>
        <w:rPr>
          <w:rFonts w:cs="Times New Roman"/>
          <w:sz w:val="24"/>
          <w:szCs w:val="24"/>
          <w:lang w:val="en-MY"/>
        </w:rPr>
      </w:pPr>
    </w:p>
    <w:p w14:paraId="4AB94685" w14:textId="77777777" w:rsidR="0024372F" w:rsidRPr="0024372F" w:rsidRDefault="0024372F" w:rsidP="0024372F">
      <w:pPr>
        <w:spacing w:after="0" w:line="240" w:lineRule="auto"/>
        <w:jc w:val="both"/>
        <w:rPr>
          <w:rFonts w:cs="Times New Roman"/>
          <w:b/>
          <w:bCs/>
          <w:sz w:val="24"/>
          <w:szCs w:val="24"/>
          <w:lang w:val="x-none"/>
        </w:rPr>
      </w:pPr>
      <w:r w:rsidRPr="0024372F">
        <w:rPr>
          <w:rFonts w:cs="Times New Roman"/>
          <w:b/>
          <w:bCs/>
          <w:sz w:val="24"/>
          <w:szCs w:val="24"/>
          <w:lang w:val="en-US"/>
        </w:rPr>
        <w:t xml:space="preserve">5. </w:t>
      </w:r>
      <w:r w:rsidRPr="0024372F">
        <w:rPr>
          <w:rFonts w:cs="Times New Roman"/>
          <w:b/>
          <w:bCs/>
          <w:sz w:val="24"/>
          <w:szCs w:val="24"/>
          <w:lang w:val="x-none"/>
        </w:rPr>
        <w:t xml:space="preserve">Conclusions </w:t>
      </w:r>
    </w:p>
    <w:p w14:paraId="40D32C44" w14:textId="77777777" w:rsidR="0024372F" w:rsidRPr="0024372F" w:rsidRDefault="0024372F" w:rsidP="0024372F">
      <w:pPr>
        <w:spacing w:after="0" w:line="240" w:lineRule="auto"/>
        <w:jc w:val="both"/>
        <w:rPr>
          <w:rFonts w:cs="Times New Roman"/>
          <w:sz w:val="24"/>
          <w:szCs w:val="24"/>
        </w:rPr>
      </w:pPr>
    </w:p>
    <w:p w14:paraId="0055FF47" w14:textId="77777777" w:rsidR="0024372F" w:rsidRPr="0024372F" w:rsidRDefault="0024372F" w:rsidP="002027A9">
      <w:pPr>
        <w:pStyle w:val="A"/>
      </w:pPr>
      <w:r w:rsidRPr="0024372F">
        <w:t>In order to evaluate the appropriate spectral wavelengths for detecting archaeological proxies within the context of Malaysia's climate and vegetation heterogeneity, this research proposed a novel methodology by creating the "Constant Experimental Evaluation" (CEE) method. The first novel method used the Pearson correlation coefficient to validate the association between eight Vegetation Indices and Electrical Resistivity Thermography data measurements. The new CEE technique was then used to verify the preliminary results at particular wavelengths. According to the results of the first technique, the optimal spectral wavelengths are (NIR</w:t>
      </w:r>
      <w:r w:rsidRPr="0024372F">
        <w:rPr>
          <w:vertAlign w:val="subscript"/>
        </w:rPr>
        <w:t>new</w:t>
      </w:r>
      <w:r w:rsidRPr="0024372F">
        <w:t>=0.783µm) and (Red</w:t>
      </w:r>
      <w:r w:rsidRPr="0024372F">
        <w:rPr>
          <w:vertAlign w:val="subscript"/>
        </w:rPr>
        <w:t>new</w:t>
      </w:r>
      <w:r w:rsidRPr="0024372F">
        <w:t>=0.627µm), and 50% of image enhancement is achieved with an improvement in the correlation of 0.86 rather than 0.595. It has been found that the NDVI, DVI, RDVI, and MSAVI are the four Vegetation Indices that have the strongest correlation with the resistivity approach region. The remaining four suggested vegetation indices are moderately correlated. Future research will be expanded to determine the optimal spectral band and characterize the spectral patterns of the archaeological features, particularly in Malaysia's heterogeneous climate and vegetation.</w:t>
      </w:r>
    </w:p>
    <w:p w14:paraId="7E2F00B6" w14:textId="77777777" w:rsidR="0024372F" w:rsidRPr="0024372F" w:rsidRDefault="0024372F" w:rsidP="0024372F">
      <w:pPr>
        <w:spacing w:after="0" w:line="240" w:lineRule="auto"/>
        <w:jc w:val="both"/>
        <w:rPr>
          <w:rFonts w:cs="Times New Roman"/>
          <w:sz w:val="24"/>
          <w:szCs w:val="24"/>
        </w:rPr>
      </w:pPr>
    </w:p>
    <w:p w14:paraId="6C3B2F9E" w14:textId="77777777" w:rsidR="0024372F" w:rsidRPr="0024372F" w:rsidRDefault="0024372F" w:rsidP="0024372F">
      <w:pPr>
        <w:spacing w:after="0" w:line="240" w:lineRule="auto"/>
        <w:jc w:val="both"/>
        <w:rPr>
          <w:rFonts w:cs="Times New Roman"/>
          <w:b/>
          <w:bCs/>
          <w:sz w:val="24"/>
          <w:szCs w:val="24"/>
        </w:rPr>
      </w:pPr>
      <w:r w:rsidRPr="0024372F">
        <w:rPr>
          <w:rFonts w:cs="Times New Roman"/>
          <w:b/>
          <w:bCs/>
          <w:sz w:val="24"/>
          <w:szCs w:val="24"/>
        </w:rPr>
        <w:t>Acknowledgement</w:t>
      </w:r>
    </w:p>
    <w:p w14:paraId="359E9F09" w14:textId="77777777" w:rsidR="0024372F" w:rsidRPr="0024372F" w:rsidRDefault="0024372F" w:rsidP="0024372F">
      <w:pPr>
        <w:spacing w:after="0" w:line="240" w:lineRule="auto"/>
        <w:jc w:val="both"/>
        <w:rPr>
          <w:rFonts w:cs="Times New Roman"/>
          <w:b/>
          <w:bCs/>
          <w:sz w:val="24"/>
          <w:szCs w:val="24"/>
        </w:rPr>
      </w:pPr>
      <w:r w:rsidRPr="0024372F">
        <w:rPr>
          <w:rFonts w:cs="Times New Roman"/>
          <w:sz w:val="24"/>
          <w:szCs w:val="24"/>
        </w:rPr>
        <w:t>This research was financially supported by the Universiti Teknologi Malaysia research grant under Vot. Number 09G38. The authors also would like to express their appreciation to the Geophysics Unit of the University of Sciences Malaysia (USM), the Centre of Global Archaeology Research, USM, and Mr Sheyh Sahibul Karamah Masnan for their cooperation. Also, the National Heritage Department of Malaysia and the Malaysia Remote Sensing Agency provided satellite information data for this research</w:t>
      </w:r>
      <w:r w:rsidRPr="0024372F">
        <w:rPr>
          <w:rFonts w:cs="Times New Roman"/>
          <w:b/>
          <w:bCs/>
          <w:sz w:val="24"/>
          <w:szCs w:val="24"/>
        </w:rPr>
        <w:t>.</w:t>
      </w:r>
    </w:p>
    <w:p w14:paraId="64E8E022" w14:textId="77777777" w:rsidR="00D94F1C" w:rsidRDefault="00D94F1C" w:rsidP="000F794A">
      <w:pPr>
        <w:spacing w:after="0" w:line="240" w:lineRule="auto"/>
        <w:jc w:val="both"/>
        <w:rPr>
          <w:rFonts w:cs="Times New Roman"/>
          <w:b/>
          <w:bCs/>
          <w:sz w:val="24"/>
          <w:szCs w:val="24"/>
        </w:rPr>
      </w:pPr>
    </w:p>
    <w:p w14:paraId="4544814E" w14:textId="7DFD27DA"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p>
    <w:p w14:paraId="33827E98" w14:textId="4BA75961" w:rsidR="00AE0277" w:rsidRPr="005C1394" w:rsidRDefault="00AE0277" w:rsidP="00054401">
      <w:pPr>
        <w:autoSpaceDE w:val="0"/>
        <w:autoSpaceDN w:val="0"/>
        <w:adjustRightInd w:val="0"/>
        <w:spacing w:after="0" w:line="240" w:lineRule="auto"/>
        <w:ind w:left="490" w:hangingChars="245" w:hanging="490"/>
        <w:jc w:val="both"/>
        <w:rPr>
          <w:rFonts w:cstheme="minorHAnsi"/>
          <w:noProof/>
          <w:color w:val="000000" w:themeColor="text1"/>
          <w:sz w:val="20"/>
          <w:szCs w:val="20"/>
        </w:rPr>
      </w:pPr>
      <w:bookmarkStart w:id="7" w:name="_Hlk149730634"/>
      <w:r w:rsidRPr="005C1394">
        <w:rPr>
          <w:rFonts w:cstheme="minorHAnsi"/>
          <w:noProof/>
          <w:color w:val="000000" w:themeColor="text1"/>
          <w:sz w:val="20"/>
          <w:szCs w:val="20"/>
        </w:rPr>
        <w:t>[1]</w:t>
      </w:r>
      <w:r w:rsidRPr="005C1394">
        <w:rPr>
          <w:rFonts w:cstheme="minorHAnsi"/>
          <w:noProof/>
          <w:color w:val="000000" w:themeColor="text1"/>
          <w:sz w:val="20"/>
          <w:szCs w:val="20"/>
        </w:rPr>
        <w:tab/>
      </w:r>
      <w:r w:rsidR="0018286A" w:rsidRPr="005C1394">
        <w:rPr>
          <w:rFonts w:cstheme="minorHAnsi"/>
          <w:color w:val="222222"/>
          <w:sz w:val="20"/>
          <w:szCs w:val="20"/>
          <w:shd w:val="clear" w:color="auto" w:fill="FFFFFF"/>
        </w:rPr>
        <w:t>Choi, Y. J., J. Lampel, S. Fiedler, D. Jordan, and T. Wagner. "A new method for the identification of archaeological soils by their spectral signatures in the vis-NIR region." </w:t>
      </w:r>
      <w:r w:rsidR="0018286A" w:rsidRPr="005C1394">
        <w:rPr>
          <w:rFonts w:cstheme="minorHAnsi"/>
          <w:i/>
          <w:iCs/>
          <w:color w:val="222222"/>
          <w:sz w:val="20"/>
          <w:szCs w:val="20"/>
          <w:shd w:val="clear" w:color="auto" w:fill="FFFFFF"/>
        </w:rPr>
        <w:t>Journal of Archaeological Science: Reports</w:t>
      </w:r>
      <w:r w:rsidR="0018286A" w:rsidRPr="005C1394">
        <w:rPr>
          <w:rFonts w:cstheme="minorHAnsi"/>
          <w:color w:val="222222"/>
          <w:sz w:val="20"/>
          <w:szCs w:val="20"/>
          <w:shd w:val="clear" w:color="auto" w:fill="FFFFFF"/>
        </w:rPr>
        <w:t> 33 (2020): 102553.</w:t>
      </w:r>
      <w:r w:rsidR="005C1394" w:rsidRPr="005C1394">
        <w:rPr>
          <w:rFonts w:cstheme="minorHAnsi"/>
          <w:sz w:val="20"/>
          <w:szCs w:val="20"/>
        </w:rPr>
        <w:t xml:space="preserve"> </w:t>
      </w:r>
      <w:hyperlink r:id="rId25" w:tgtFrame="_blank" w:history="1">
        <w:r w:rsidR="005C1394" w:rsidRPr="005C1394">
          <w:rPr>
            <w:rStyle w:val="Hyperlink"/>
            <w:rFonts w:cstheme="minorHAnsi"/>
            <w:sz w:val="20"/>
            <w:szCs w:val="20"/>
          </w:rPr>
          <w:t>https://doi.org/10.1016/j.jasrep.2020.102553</w:t>
        </w:r>
      </w:hyperlink>
    </w:p>
    <w:p w14:paraId="26B1541E" w14:textId="2DE49E6A" w:rsidR="00AE0277" w:rsidRPr="005C1394" w:rsidRDefault="00AE0277" w:rsidP="00054401">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[2]</w:t>
      </w:r>
      <w:r w:rsidRPr="005C1394">
        <w:rPr>
          <w:rFonts w:cstheme="minorHAnsi"/>
          <w:noProof/>
          <w:color w:val="000000" w:themeColor="text1"/>
          <w:sz w:val="20"/>
          <w:szCs w:val="20"/>
        </w:rPr>
        <w:tab/>
      </w:r>
      <w:r w:rsidR="0018286A" w:rsidRPr="005C1394">
        <w:rPr>
          <w:rFonts w:cstheme="minorHAnsi"/>
          <w:color w:val="222222"/>
          <w:sz w:val="20"/>
          <w:szCs w:val="20"/>
          <w:shd w:val="clear" w:color="auto" w:fill="FFFFFF"/>
        </w:rPr>
        <w:t xml:space="preserve">Monna, Fabrice, Jérôme Magail, Tanguy Rolland, Nicolas Navarro, Josef Wilczek, Jamiyan-Ombo Gantulga, Yury Esin, Ludovic Granjon, Anne-Caroline Allard, and Carmela Chateau-Smith. "Machine learning for rapid mapping of </w:t>
      </w:r>
      <w:r w:rsidR="0018286A" w:rsidRPr="005C1394">
        <w:rPr>
          <w:rFonts w:cstheme="minorHAnsi"/>
          <w:color w:val="222222"/>
          <w:sz w:val="20"/>
          <w:szCs w:val="20"/>
          <w:shd w:val="clear" w:color="auto" w:fill="FFFFFF"/>
        </w:rPr>
        <w:lastRenderedPageBreak/>
        <w:t>archaeological structures made of dry stones–Example of burial monuments from the Khirgisuur culture, Mongolia–." </w:t>
      </w:r>
      <w:r w:rsidR="0018286A" w:rsidRPr="005C1394">
        <w:rPr>
          <w:rFonts w:cstheme="minorHAnsi"/>
          <w:i/>
          <w:iCs/>
          <w:color w:val="222222"/>
          <w:sz w:val="20"/>
          <w:szCs w:val="20"/>
          <w:shd w:val="clear" w:color="auto" w:fill="FFFFFF"/>
        </w:rPr>
        <w:t>Journal of Cultural Heritage</w:t>
      </w:r>
      <w:r w:rsidR="0018286A" w:rsidRPr="005C1394">
        <w:rPr>
          <w:rFonts w:cstheme="minorHAnsi"/>
          <w:color w:val="222222"/>
          <w:sz w:val="20"/>
          <w:szCs w:val="20"/>
          <w:shd w:val="clear" w:color="auto" w:fill="FFFFFF"/>
        </w:rPr>
        <w:t> 43 (2020): 118-128.</w:t>
      </w:r>
      <w:r w:rsidR="005C1394" w:rsidRPr="005C1394">
        <w:rPr>
          <w:rFonts w:cstheme="minorHAnsi"/>
          <w:sz w:val="20"/>
          <w:szCs w:val="20"/>
        </w:rPr>
        <w:t xml:space="preserve"> </w:t>
      </w:r>
      <w:hyperlink r:id="rId26" w:tgtFrame="_blank" w:history="1">
        <w:r w:rsidR="005C1394" w:rsidRPr="005C1394">
          <w:rPr>
            <w:rStyle w:val="Hyperlink"/>
            <w:rFonts w:cstheme="minorHAnsi"/>
            <w:sz w:val="20"/>
            <w:szCs w:val="20"/>
          </w:rPr>
          <w:t>https://doi.org/10.1016/j.culher.2020.01.002</w:t>
        </w:r>
      </w:hyperlink>
    </w:p>
    <w:p w14:paraId="41B7F362" w14:textId="090B0A7F" w:rsidR="000F794A" w:rsidRPr="005C1394" w:rsidRDefault="003D77F4" w:rsidP="003D77F4">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[3]</w:t>
      </w:r>
      <w:r w:rsidRPr="005C1394">
        <w:rPr>
          <w:rFonts w:cstheme="minorHAnsi"/>
          <w:noProof/>
          <w:color w:val="000000" w:themeColor="text1"/>
          <w:sz w:val="20"/>
          <w:szCs w:val="20"/>
        </w:rPr>
        <w:tab/>
      </w:r>
      <w:r w:rsidR="0018286A" w:rsidRPr="005C1394">
        <w:rPr>
          <w:rFonts w:cstheme="minorHAnsi"/>
          <w:color w:val="222222"/>
          <w:sz w:val="20"/>
          <w:szCs w:val="20"/>
          <w:shd w:val="clear" w:color="auto" w:fill="FFFFFF"/>
        </w:rPr>
        <w:t>Roslan, Shairatul Akma, Fitri Yakub, Shuib Rambat, Norzailawati Mohd Noor, and Mokhtar Saidin. "The Integration of Aerial Sensing and Geophysical Techniques to Identify Buried Archaeological Properties in Sungai Batu, Bujang Valley." In </w:t>
      </w:r>
      <w:r w:rsidR="0018286A" w:rsidRPr="005C1394">
        <w:rPr>
          <w:rFonts w:cstheme="minorHAnsi"/>
          <w:i/>
          <w:iCs/>
          <w:color w:val="222222"/>
          <w:sz w:val="20"/>
          <w:szCs w:val="20"/>
          <w:shd w:val="clear" w:color="auto" w:fill="FFFFFF"/>
        </w:rPr>
        <w:t>IOP Conference Series: Earth and Environmental Science</w:t>
      </w:r>
      <w:r w:rsidR="0018286A" w:rsidRPr="005C1394">
        <w:rPr>
          <w:rFonts w:cstheme="minorHAnsi"/>
          <w:color w:val="222222"/>
          <w:sz w:val="20"/>
          <w:szCs w:val="20"/>
          <w:shd w:val="clear" w:color="auto" w:fill="FFFFFF"/>
        </w:rPr>
        <w:t>, vol. 540, no. 1, p. 012013. IOP Publishing, 2020.</w:t>
      </w:r>
      <w:r w:rsidR="005C1394" w:rsidRPr="005C1394">
        <w:rPr>
          <w:rFonts w:cstheme="minorHAnsi"/>
          <w:sz w:val="20"/>
          <w:szCs w:val="20"/>
        </w:rPr>
        <w:t xml:space="preserve"> </w:t>
      </w:r>
      <w:hyperlink r:id="rId27" w:tgtFrame="_blank" w:history="1">
        <w:r w:rsidR="005C1394" w:rsidRPr="005C1394">
          <w:rPr>
            <w:rStyle w:val="Hyperlink"/>
            <w:rFonts w:cstheme="minorHAnsi"/>
            <w:sz w:val="20"/>
            <w:szCs w:val="20"/>
          </w:rPr>
          <w:t>https://doi.org/10.1088/1755-1315/540/1/012013</w:t>
        </w:r>
      </w:hyperlink>
    </w:p>
    <w:p w14:paraId="4900D037" w14:textId="2B2DAD3D" w:rsidR="000F794A" w:rsidRPr="005C1394" w:rsidRDefault="000F794A" w:rsidP="00146464">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color w:val="000000" w:themeColor="text1"/>
          <w:sz w:val="20"/>
          <w:szCs w:val="20"/>
          <w:shd w:val="clear" w:color="auto" w:fill="FFFFFF"/>
        </w:rPr>
        <w:t>[4]</w:t>
      </w:r>
      <w:r w:rsidRPr="005C1394">
        <w:rPr>
          <w:rFonts w:cstheme="minorHAnsi"/>
          <w:color w:val="000000" w:themeColor="text1"/>
          <w:sz w:val="20"/>
          <w:szCs w:val="20"/>
          <w:shd w:val="clear" w:color="auto" w:fill="FFFFFF"/>
        </w:rPr>
        <w:tab/>
      </w:r>
      <w:r w:rsidR="0018286A" w:rsidRPr="005C1394">
        <w:rPr>
          <w:rFonts w:cstheme="minorHAnsi"/>
          <w:color w:val="222222"/>
          <w:sz w:val="20"/>
          <w:szCs w:val="20"/>
          <w:shd w:val="clear" w:color="auto" w:fill="FFFFFF"/>
        </w:rPr>
        <w:t>Roslan, Shairatul Akma, Fitri Yakub, Mokhtar Saidin, Shuib Rambat, Mohamed Attwa, and Mohd Zamzuri Ab Rashid. "A Comparative Assessment for the Archaeological Features Detection Using an Integration of Aerial Remote Sensing and Electrical Resistivity in Sungai Batu, Bujang Valley." </w:t>
      </w:r>
      <w:r w:rsidR="0018286A" w:rsidRPr="005C1394">
        <w:rPr>
          <w:rFonts w:cstheme="minorHAnsi"/>
          <w:i/>
          <w:iCs/>
          <w:color w:val="222222"/>
          <w:sz w:val="20"/>
          <w:szCs w:val="20"/>
          <w:shd w:val="clear" w:color="auto" w:fill="FFFFFF"/>
        </w:rPr>
        <w:t>Journal of the Indian Society of Remote Sensing</w:t>
      </w:r>
      <w:r w:rsidR="0018286A" w:rsidRPr="005C1394">
        <w:rPr>
          <w:rFonts w:cstheme="minorHAnsi"/>
          <w:color w:val="222222"/>
          <w:sz w:val="20"/>
          <w:szCs w:val="20"/>
          <w:shd w:val="clear" w:color="auto" w:fill="FFFFFF"/>
        </w:rPr>
        <w:t> 49 (2021): 2959-2975.</w:t>
      </w:r>
      <w:r w:rsidR="005C1394" w:rsidRPr="005C1394">
        <w:rPr>
          <w:rFonts w:cstheme="minorHAnsi"/>
          <w:sz w:val="20"/>
          <w:szCs w:val="20"/>
        </w:rPr>
        <w:t xml:space="preserve"> </w:t>
      </w:r>
      <w:hyperlink r:id="rId28" w:tgtFrame="_blank" w:history="1">
        <w:r w:rsidR="005C1394" w:rsidRPr="005C1394">
          <w:rPr>
            <w:rStyle w:val="Hyperlink"/>
            <w:rFonts w:cstheme="minorHAnsi"/>
            <w:sz w:val="20"/>
            <w:szCs w:val="20"/>
          </w:rPr>
          <w:t>https://doi.org/10.1007/s12524-021-01431-5</w:t>
        </w:r>
      </w:hyperlink>
    </w:p>
    <w:p w14:paraId="3F40B11C" w14:textId="3610E31B" w:rsidR="000F794A" w:rsidRPr="005C1394" w:rsidRDefault="000F794A" w:rsidP="00146464">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[5]</w:t>
      </w:r>
      <w:r w:rsidRPr="005C1394">
        <w:rPr>
          <w:rFonts w:cstheme="minorHAnsi"/>
          <w:noProof/>
          <w:color w:val="000000" w:themeColor="text1"/>
          <w:sz w:val="20"/>
          <w:szCs w:val="20"/>
        </w:rPr>
        <w:tab/>
      </w:r>
      <w:r w:rsidR="0018286A" w:rsidRPr="005C1394">
        <w:rPr>
          <w:rFonts w:cstheme="minorHAnsi"/>
          <w:color w:val="222222"/>
          <w:sz w:val="20"/>
          <w:szCs w:val="20"/>
          <w:shd w:val="clear" w:color="auto" w:fill="FFFFFF"/>
        </w:rPr>
        <w:t>Davis, Dylan S., Katherine E. Seeber, and Matthew C. Sanger. "Addressing the problem of disappearing cultural landscapes in archaeological research using multi-scalar survey." </w:t>
      </w:r>
      <w:r w:rsidR="0018286A" w:rsidRPr="005C1394">
        <w:rPr>
          <w:rFonts w:cstheme="minorHAnsi"/>
          <w:i/>
          <w:iCs/>
          <w:color w:val="222222"/>
          <w:sz w:val="20"/>
          <w:szCs w:val="20"/>
          <w:shd w:val="clear" w:color="auto" w:fill="FFFFFF"/>
        </w:rPr>
        <w:t>The Journal of Island and Coastal Archaeology</w:t>
      </w:r>
      <w:r w:rsidR="0018286A" w:rsidRPr="005C1394">
        <w:rPr>
          <w:rFonts w:cstheme="minorHAnsi"/>
          <w:color w:val="222222"/>
          <w:sz w:val="20"/>
          <w:szCs w:val="20"/>
          <w:shd w:val="clear" w:color="auto" w:fill="FFFFFF"/>
        </w:rPr>
        <w:t> 16, no. 2-4 (2021): 524-540.</w:t>
      </w:r>
      <w:r w:rsidR="005C1394" w:rsidRPr="005C1394">
        <w:rPr>
          <w:rFonts w:cstheme="minorHAnsi"/>
          <w:sz w:val="20"/>
          <w:szCs w:val="20"/>
        </w:rPr>
        <w:t xml:space="preserve"> </w:t>
      </w:r>
      <w:hyperlink r:id="rId29" w:tgtFrame="_blank" w:history="1">
        <w:r w:rsidR="005C1394" w:rsidRPr="005C1394">
          <w:rPr>
            <w:rStyle w:val="Hyperlink"/>
            <w:rFonts w:cstheme="minorHAnsi"/>
            <w:sz w:val="20"/>
            <w:szCs w:val="20"/>
          </w:rPr>
          <w:t>https://doi.org/10.1080/15564894.2020.1803457</w:t>
        </w:r>
      </w:hyperlink>
    </w:p>
    <w:p w14:paraId="2FD764ED" w14:textId="33885F45" w:rsidR="000F794A" w:rsidRPr="005C1394" w:rsidRDefault="000F794A" w:rsidP="001A5AC6">
      <w:pPr>
        <w:tabs>
          <w:tab w:val="left" w:pos="0"/>
          <w:tab w:val="left" w:pos="284"/>
        </w:tabs>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[6]</w:t>
      </w:r>
      <w:r w:rsidRPr="005C1394">
        <w:rPr>
          <w:rFonts w:cstheme="minorHAnsi"/>
          <w:noProof/>
          <w:color w:val="000000" w:themeColor="text1"/>
          <w:sz w:val="20"/>
          <w:szCs w:val="20"/>
        </w:rPr>
        <w:tab/>
      </w:r>
      <w:r w:rsidRPr="005C1394">
        <w:rPr>
          <w:rFonts w:cstheme="minorHAnsi"/>
          <w:noProof/>
          <w:color w:val="000000" w:themeColor="text1"/>
          <w:sz w:val="20"/>
          <w:szCs w:val="20"/>
        </w:rPr>
        <w:tab/>
      </w:r>
      <w:r w:rsidR="0018286A" w:rsidRPr="005C1394">
        <w:rPr>
          <w:rFonts w:cstheme="minorHAnsi"/>
          <w:color w:val="222222"/>
          <w:sz w:val="20"/>
          <w:szCs w:val="20"/>
          <w:shd w:val="clear" w:color="auto" w:fill="FFFFFF"/>
        </w:rPr>
        <w:t>Jiménez-Brenes, Francisco Manuel, Francisca Lopez-Granados, Jorge Torres-Sánchez, José Manuel Peña, Pilar Ramírez, Isabel Luisa Castillejo-González, and Ana Isabel de Castro. "Automatic UAV-based detection of Cynodon dactylon for site-specific vineyard management." </w:t>
      </w:r>
      <w:r w:rsidR="0018286A" w:rsidRPr="005C1394">
        <w:rPr>
          <w:rFonts w:cstheme="minorHAnsi"/>
          <w:i/>
          <w:iCs/>
          <w:color w:val="222222"/>
          <w:sz w:val="20"/>
          <w:szCs w:val="20"/>
          <w:shd w:val="clear" w:color="auto" w:fill="FFFFFF"/>
        </w:rPr>
        <w:t>PloS one</w:t>
      </w:r>
      <w:r w:rsidR="0018286A" w:rsidRPr="005C1394">
        <w:rPr>
          <w:rFonts w:cstheme="minorHAnsi"/>
          <w:color w:val="222222"/>
          <w:sz w:val="20"/>
          <w:szCs w:val="20"/>
          <w:shd w:val="clear" w:color="auto" w:fill="FFFFFF"/>
        </w:rPr>
        <w:t> 14, no. 6 (2019): e0218132.</w:t>
      </w:r>
      <w:r w:rsidR="005C1394" w:rsidRPr="005C1394">
        <w:rPr>
          <w:rFonts w:cstheme="minorHAnsi"/>
          <w:sz w:val="20"/>
          <w:szCs w:val="20"/>
        </w:rPr>
        <w:t xml:space="preserve"> </w:t>
      </w:r>
      <w:hyperlink r:id="rId30" w:tgtFrame="_blank" w:history="1">
        <w:r w:rsidR="005C1394" w:rsidRPr="005C1394">
          <w:rPr>
            <w:rStyle w:val="Hyperlink"/>
            <w:rFonts w:cstheme="minorHAnsi"/>
            <w:sz w:val="20"/>
            <w:szCs w:val="20"/>
          </w:rPr>
          <w:t>https://doi.org/10.1371/journal.pone.0218132</w:t>
        </w:r>
      </w:hyperlink>
    </w:p>
    <w:p w14:paraId="7547A532" w14:textId="4E9FC744" w:rsidR="000F794A" w:rsidRPr="005C1394" w:rsidRDefault="000F794A" w:rsidP="00146464">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[7]</w:t>
      </w:r>
      <w:r w:rsidRPr="005C1394">
        <w:rPr>
          <w:rFonts w:cstheme="minorHAnsi"/>
          <w:noProof/>
          <w:color w:val="000000" w:themeColor="text1"/>
          <w:sz w:val="20"/>
          <w:szCs w:val="20"/>
        </w:rPr>
        <w:tab/>
      </w:r>
      <w:r w:rsidR="0018286A" w:rsidRPr="005C1394">
        <w:rPr>
          <w:rFonts w:cstheme="minorHAnsi"/>
          <w:color w:val="222222"/>
          <w:sz w:val="20"/>
          <w:szCs w:val="20"/>
          <w:shd w:val="clear" w:color="auto" w:fill="FFFFFF"/>
        </w:rPr>
        <w:t>Polewski, Przemyslaw, Wei Yao, Lin Cao, and Sha Gao. "Marker-free coregistration of UAV and backpack LiDAR point clouds in forested areas." </w:t>
      </w:r>
      <w:r w:rsidR="0018286A" w:rsidRPr="005C1394">
        <w:rPr>
          <w:rFonts w:cstheme="minorHAnsi"/>
          <w:i/>
          <w:iCs/>
          <w:color w:val="222222"/>
          <w:sz w:val="20"/>
          <w:szCs w:val="20"/>
          <w:shd w:val="clear" w:color="auto" w:fill="FFFFFF"/>
        </w:rPr>
        <w:t>ISPRS journal of photogrammetry and remote sensing</w:t>
      </w:r>
      <w:r w:rsidR="0018286A" w:rsidRPr="005C1394">
        <w:rPr>
          <w:rFonts w:cstheme="minorHAnsi"/>
          <w:color w:val="222222"/>
          <w:sz w:val="20"/>
          <w:szCs w:val="20"/>
          <w:shd w:val="clear" w:color="auto" w:fill="FFFFFF"/>
        </w:rPr>
        <w:t> 147 (2019): 307-318.</w:t>
      </w:r>
      <w:r w:rsidR="005C1394" w:rsidRPr="005C1394">
        <w:rPr>
          <w:rFonts w:cstheme="minorHAnsi"/>
          <w:sz w:val="20"/>
          <w:szCs w:val="20"/>
        </w:rPr>
        <w:t xml:space="preserve"> </w:t>
      </w:r>
      <w:hyperlink r:id="rId31" w:tgtFrame="_blank" w:history="1">
        <w:r w:rsidR="005C1394" w:rsidRPr="005C1394">
          <w:rPr>
            <w:rStyle w:val="Hyperlink"/>
            <w:rFonts w:cstheme="minorHAnsi"/>
            <w:sz w:val="20"/>
            <w:szCs w:val="20"/>
          </w:rPr>
          <w:t>https://doi.org/10.1016/j.isprsjprs.2018.11.020</w:t>
        </w:r>
      </w:hyperlink>
    </w:p>
    <w:p w14:paraId="58996BD8" w14:textId="3A65F2B2" w:rsidR="000F794A" w:rsidRPr="005C1394" w:rsidRDefault="000F794A" w:rsidP="000F794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[8]</w:t>
      </w:r>
      <w:r w:rsidRPr="005C1394">
        <w:rPr>
          <w:rFonts w:cstheme="minorHAnsi"/>
          <w:noProof/>
          <w:color w:val="000000" w:themeColor="text1"/>
          <w:sz w:val="20"/>
          <w:szCs w:val="20"/>
        </w:rPr>
        <w:tab/>
      </w:r>
      <w:r w:rsidR="0018286A" w:rsidRPr="005C1394">
        <w:rPr>
          <w:rFonts w:cstheme="minorHAnsi"/>
          <w:color w:val="222222"/>
          <w:sz w:val="20"/>
          <w:szCs w:val="20"/>
          <w:shd w:val="clear" w:color="auto" w:fill="FFFFFF"/>
        </w:rPr>
        <w:t>Lasaponara, Rosa, and Nicola Masini. "Advances in remote sensing for archaeology and cultural heritage management." In </w:t>
      </w:r>
      <w:r w:rsidR="0018286A" w:rsidRPr="005C1394">
        <w:rPr>
          <w:rFonts w:cstheme="minorHAnsi"/>
          <w:i/>
          <w:iCs/>
          <w:color w:val="222222"/>
          <w:sz w:val="20"/>
          <w:szCs w:val="20"/>
          <w:shd w:val="clear" w:color="auto" w:fill="FFFFFF"/>
        </w:rPr>
        <w:t>Proc. of I International EARSeL Workshop “Advances in Remote Sensing for Archaeology and Culturale Heritage Management”, Rome</w:t>
      </w:r>
      <w:r w:rsidR="0018286A" w:rsidRPr="005C1394">
        <w:rPr>
          <w:rFonts w:cstheme="minorHAnsi"/>
          <w:color w:val="222222"/>
          <w:sz w:val="20"/>
          <w:szCs w:val="20"/>
          <w:shd w:val="clear" w:color="auto" w:fill="FFFFFF"/>
        </w:rPr>
        <w:t>, vol. 30. 2008.</w:t>
      </w:r>
    </w:p>
    <w:p w14:paraId="72872C13" w14:textId="703F9863" w:rsidR="00473E67" w:rsidRPr="005C1394" w:rsidRDefault="00473E67" w:rsidP="000F794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[9]</w:t>
      </w:r>
      <w:r w:rsidRPr="005C1394">
        <w:rPr>
          <w:rFonts w:cstheme="minorHAnsi"/>
          <w:noProof/>
          <w:color w:val="000000" w:themeColor="text1"/>
          <w:sz w:val="20"/>
          <w:szCs w:val="20"/>
        </w:rPr>
        <w:tab/>
      </w:r>
      <w:r w:rsidR="0018286A" w:rsidRPr="005C1394">
        <w:rPr>
          <w:rFonts w:cstheme="minorHAnsi"/>
          <w:color w:val="222222"/>
          <w:sz w:val="20"/>
          <w:szCs w:val="20"/>
          <w:shd w:val="clear" w:color="auto" w:fill="FFFFFF"/>
        </w:rPr>
        <w:t>Zhao, D. H., J. L. Li, and J. G. Qi. "Identification of red and NIR spectral regions and vegetative indices for discrimination of cotton nitrogen stress and growth stage." </w:t>
      </w:r>
      <w:r w:rsidR="0018286A" w:rsidRPr="005C1394">
        <w:rPr>
          <w:rFonts w:cstheme="minorHAnsi"/>
          <w:i/>
          <w:iCs/>
          <w:color w:val="222222"/>
          <w:sz w:val="20"/>
          <w:szCs w:val="20"/>
          <w:shd w:val="clear" w:color="auto" w:fill="FFFFFF"/>
        </w:rPr>
        <w:t>Computers and Electronics in Agriculture</w:t>
      </w:r>
      <w:r w:rsidR="0018286A" w:rsidRPr="005C1394">
        <w:rPr>
          <w:rFonts w:cstheme="minorHAnsi"/>
          <w:color w:val="222222"/>
          <w:sz w:val="20"/>
          <w:szCs w:val="20"/>
          <w:shd w:val="clear" w:color="auto" w:fill="FFFFFF"/>
        </w:rPr>
        <w:t> 48, no. 2 (2005): 155-169.</w:t>
      </w:r>
      <w:r w:rsidR="005C1394" w:rsidRPr="005C1394">
        <w:rPr>
          <w:rFonts w:cstheme="minorHAnsi"/>
          <w:sz w:val="20"/>
          <w:szCs w:val="20"/>
        </w:rPr>
        <w:t xml:space="preserve"> </w:t>
      </w:r>
      <w:hyperlink r:id="rId32" w:tgtFrame="_blank" w:history="1">
        <w:r w:rsidR="005C1394" w:rsidRPr="005C1394">
          <w:rPr>
            <w:rStyle w:val="Hyperlink"/>
            <w:rFonts w:cstheme="minorHAnsi"/>
            <w:sz w:val="20"/>
            <w:szCs w:val="20"/>
          </w:rPr>
          <w:t>https://doi.org/10.1016/j.compag.2005.03.003</w:t>
        </w:r>
      </w:hyperlink>
    </w:p>
    <w:p w14:paraId="6C52A158" w14:textId="5EC7CE89" w:rsidR="00473E67" w:rsidRPr="005C1394" w:rsidRDefault="00473E67" w:rsidP="000F794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[10]</w:t>
      </w:r>
      <w:r w:rsidRPr="005C1394">
        <w:rPr>
          <w:rFonts w:cstheme="minorHAnsi"/>
          <w:noProof/>
          <w:color w:val="000000" w:themeColor="text1"/>
          <w:sz w:val="20"/>
          <w:szCs w:val="20"/>
        </w:rPr>
        <w:tab/>
      </w:r>
      <w:r w:rsidR="0018286A" w:rsidRPr="005C1394">
        <w:rPr>
          <w:rFonts w:cstheme="minorHAnsi"/>
          <w:color w:val="222222"/>
          <w:sz w:val="20"/>
          <w:szCs w:val="20"/>
          <w:shd w:val="clear" w:color="auto" w:fill="FFFFFF"/>
        </w:rPr>
        <w:t>Lasaponara, Rosa, and Nicola Masini. "Satellite remote sensing in archaeology: Past, present and future perspectives." </w:t>
      </w:r>
      <w:r w:rsidR="0018286A" w:rsidRPr="005C1394">
        <w:rPr>
          <w:rFonts w:cstheme="minorHAnsi"/>
          <w:i/>
          <w:iCs/>
          <w:color w:val="222222"/>
          <w:sz w:val="20"/>
          <w:szCs w:val="20"/>
          <w:shd w:val="clear" w:color="auto" w:fill="FFFFFF"/>
        </w:rPr>
        <w:t>Journal of archaeological science</w:t>
      </w:r>
      <w:r w:rsidR="0018286A" w:rsidRPr="005C1394">
        <w:rPr>
          <w:rFonts w:cstheme="minorHAnsi"/>
          <w:color w:val="222222"/>
          <w:sz w:val="20"/>
          <w:szCs w:val="20"/>
          <w:shd w:val="clear" w:color="auto" w:fill="FFFFFF"/>
        </w:rPr>
        <w:t> 9, no. 38 (2011): 1995-2002.</w:t>
      </w:r>
      <w:r w:rsidR="005C1394" w:rsidRPr="005C1394">
        <w:rPr>
          <w:rFonts w:cstheme="minorHAnsi"/>
          <w:sz w:val="20"/>
          <w:szCs w:val="20"/>
        </w:rPr>
        <w:t xml:space="preserve"> </w:t>
      </w:r>
      <w:hyperlink r:id="rId33" w:tgtFrame="_blank" w:history="1">
        <w:r w:rsidR="005C1394" w:rsidRPr="005C1394">
          <w:rPr>
            <w:rStyle w:val="Hyperlink"/>
            <w:rFonts w:cstheme="minorHAnsi"/>
            <w:sz w:val="20"/>
            <w:szCs w:val="20"/>
          </w:rPr>
          <w:t>https://doi.org/10.1016/j.jas.2011.02.002</w:t>
        </w:r>
      </w:hyperlink>
    </w:p>
    <w:bookmarkEnd w:id="7"/>
    <w:p w14:paraId="7FC878BC" w14:textId="449924E7"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[11]</w:t>
      </w:r>
      <w:r w:rsidRPr="005C1394">
        <w:rPr>
          <w:rFonts w:cstheme="minorHAnsi"/>
          <w:noProof/>
          <w:color w:val="000000" w:themeColor="text1"/>
          <w:sz w:val="20"/>
          <w:szCs w:val="20"/>
        </w:rPr>
        <w:tab/>
      </w:r>
      <w:r w:rsidRPr="005C1394">
        <w:rPr>
          <w:rFonts w:cstheme="minorHAnsi"/>
          <w:color w:val="222222"/>
          <w:sz w:val="20"/>
          <w:szCs w:val="20"/>
          <w:shd w:val="clear" w:color="auto" w:fill="FFFFFF"/>
        </w:rPr>
        <w:t>Fenger-Nielsen, Rasmus, Jørgen Hollesen, Henning Matthiesen, Emil Alexander Sherman Andersen, Andreas Westergaard-Nielsen, Hans Harmsen, Anders Michelsen, and Bo Elberling. "Footprints from the past: The influence of past human activities on vegetation and soil across five archaeological sites in Greenland." </w:t>
      </w:r>
      <w:r w:rsidRPr="005C1394">
        <w:rPr>
          <w:rFonts w:cstheme="minorHAnsi"/>
          <w:i/>
          <w:iCs/>
          <w:color w:val="222222"/>
          <w:sz w:val="20"/>
          <w:szCs w:val="20"/>
          <w:shd w:val="clear" w:color="auto" w:fill="FFFFFF"/>
        </w:rPr>
        <w:t>Science of the Total Environment</w:t>
      </w:r>
      <w:r w:rsidRPr="005C1394">
        <w:rPr>
          <w:rFonts w:cstheme="minorHAnsi"/>
          <w:color w:val="222222"/>
          <w:sz w:val="20"/>
          <w:szCs w:val="20"/>
          <w:shd w:val="clear" w:color="auto" w:fill="FFFFFF"/>
        </w:rPr>
        <w:t> 654 (2019): 895-905.</w:t>
      </w:r>
      <w:r w:rsidR="005C1394" w:rsidRPr="005C1394">
        <w:rPr>
          <w:rFonts w:cstheme="minorHAnsi"/>
          <w:sz w:val="20"/>
          <w:szCs w:val="20"/>
        </w:rPr>
        <w:t xml:space="preserve"> </w:t>
      </w:r>
      <w:hyperlink r:id="rId34" w:tgtFrame="_blank" w:history="1">
        <w:r w:rsidR="005C1394" w:rsidRPr="005C1394">
          <w:rPr>
            <w:rStyle w:val="Hyperlink"/>
            <w:rFonts w:cstheme="minorHAnsi"/>
            <w:sz w:val="20"/>
            <w:szCs w:val="20"/>
          </w:rPr>
          <w:t>https://doi.org/10.1016/j.scitotenv.2018.11.018</w:t>
        </w:r>
      </w:hyperlink>
    </w:p>
    <w:p w14:paraId="48CCB7FC" w14:textId="636B01CB"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[12]</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Agapiou, Athos, Vasiliki Lysandrou, Apostolos Sarris, Nikos Papadopoulos, and Diofantos G. Hadjimitsis. "Fusion of satellite multispectral images based on ground-penetrating radar (GPR) data for the investigation of buried concealed archaeological remains." </w:t>
      </w:r>
      <w:r w:rsidR="009C4D86" w:rsidRPr="005C1394">
        <w:rPr>
          <w:rFonts w:cstheme="minorHAnsi"/>
          <w:i/>
          <w:iCs/>
          <w:color w:val="222222"/>
          <w:sz w:val="20"/>
          <w:szCs w:val="20"/>
          <w:shd w:val="clear" w:color="auto" w:fill="FFFFFF"/>
        </w:rPr>
        <w:t>Geosciences</w:t>
      </w:r>
      <w:r w:rsidR="009C4D86" w:rsidRPr="005C1394">
        <w:rPr>
          <w:rFonts w:cstheme="minorHAnsi"/>
          <w:color w:val="222222"/>
          <w:sz w:val="20"/>
          <w:szCs w:val="20"/>
          <w:shd w:val="clear" w:color="auto" w:fill="FFFFFF"/>
        </w:rPr>
        <w:t> 7, no. 2 (2017): 40.</w:t>
      </w:r>
      <w:r w:rsidR="005C1394" w:rsidRPr="005C1394">
        <w:rPr>
          <w:rFonts w:cstheme="minorHAnsi"/>
          <w:sz w:val="20"/>
          <w:szCs w:val="20"/>
        </w:rPr>
        <w:t xml:space="preserve"> </w:t>
      </w:r>
      <w:hyperlink r:id="rId35" w:tgtFrame="_blank" w:history="1">
        <w:r w:rsidR="005C1394" w:rsidRPr="005C1394">
          <w:rPr>
            <w:rStyle w:val="Hyperlink"/>
            <w:rFonts w:cstheme="minorHAnsi"/>
            <w:sz w:val="20"/>
            <w:szCs w:val="20"/>
          </w:rPr>
          <w:t>https://doi.org/10.3390/geosciences7020040</w:t>
        </w:r>
      </w:hyperlink>
    </w:p>
    <w:p w14:paraId="70BB29C4" w14:textId="227E6C06"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[13]</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Sarris, Apostolos, Nikos Papadopoulos, Athos Agapiou, Maria Cristina Salvi, Diofantos G. Hadjimitsis, William A. Parkinson, Richard W. Yerkes, Attila Gyucha, and Paul R. Duffy. "Integration of geophysical surveys, ground hyperspectral measurements, aerial and satellite imagery for archaeological prospection of prehistoric sites: the case study of Vésztő-Mágor Tell, Hungary." </w:t>
      </w:r>
      <w:r w:rsidR="009C4D86" w:rsidRPr="005C1394">
        <w:rPr>
          <w:rFonts w:cstheme="minorHAnsi"/>
          <w:i/>
          <w:iCs/>
          <w:color w:val="222222"/>
          <w:sz w:val="20"/>
          <w:szCs w:val="20"/>
          <w:shd w:val="clear" w:color="auto" w:fill="FFFFFF"/>
        </w:rPr>
        <w:t>Journal of Archaeological Science</w:t>
      </w:r>
      <w:r w:rsidR="009C4D86" w:rsidRPr="005C1394">
        <w:rPr>
          <w:rFonts w:cstheme="minorHAnsi"/>
          <w:color w:val="222222"/>
          <w:sz w:val="20"/>
          <w:szCs w:val="20"/>
          <w:shd w:val="clear" w:color="auto" w:fill="FFFFFF"/>
        </w:rPr>
        <w:t> 40, no. 3 (2013): 1454-1470.</w:t>
      </w:r>
      <w:r w:rsidR="005C1394" w:rsidRPr="005C1394">
        <w:rPr>
          <w:rFonts w:cstheme="minorHAnsi"/>
          <w:sz w:val="20"/>
          <w:szCs w:val="20"/>
        </w:rPr>
        <w:t xml:space="preserve"> </w:t>
      </w:r>
      <w:hyperlink r:id="rId36" w:tgtFrame="_blank" w:history="1">
        <w:r w:rsidR="005C1394" w:rsidRPr="005C1394">
          <w:rPr>
            <w:rStyle w:val="Hyperlink"/>
            <w:rFonts w:cstheme="minorHAnsi"/>
            <w:sz w:val="20"/>
            <w:szCs w:val="20"/>
          </w:rPr>
          <w:t>https://doi.org/10.1016/j.jas.2012.11.001</w:t>
        </w:r>
      </w:hyperlink>
    </w:p>
    <w:p w14:paraId="573E41A2" w14:textId="1C5366B8" w:rsidR="0018286A" w:rsidRPr="005C1394" w:rsidRDefault="0018286A" w:rsidP="0018286A">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color w:val="000000" w:themeColor="text1"/>
          <w:sz w:val="20"/>
          <w:szCs w:val="20"/>
          <w:shd w:val="clear" w:color="auto" w:fill="FFFFFF"/>
        </w:rPr>
        <w:t>[14]</w:t>
      </w:r>
      <w:r w:rsidRPr="005C1394">
        <w:rPr>
          <w:rFonts w:cstheme="minorHAnsi"/>
          <w:color w:val="000000" w:themeColor="text1"/>
          <w:sz w:val="20"/>
          <w:szCs w:val="20"/>
          <w:shd w:val="clear" w:color="auto" w:fill="FFFFFF"/>
        </w:rPr>
        <w:tab/>
      </w:r>
      <w:r w:rsidR="009C4D86" w:rsidRPr="005C1394">
        <w:rPr>
          <w:rFonts w:cstheme="minorHAnsi"/>
          <w:color w:val="222222"/>
          <w:sz w:val="20"/>
          <w:szCs w:val="20"/>
          <w:shd w:val="clear" w:color="auto" w:fill="FFFFFF"/>
        </w:rPr>
        <w:t>Maury, Shrikant, R. K. Tiwari, and S. Balaji. "Joint application of satellite remote sensing, ground penetrating radar (GPR) and resistivity techniques for targeting ground water in fractured Ophiolites of South Andaman Island, India." </w:t>
      </w:r>
      <w:r w:rsidR="009C4D86" w:rsidRPr="005C1394">
        <w:rPr>
          <w:rFonts w:cstheme="minorHAnsi"/>
          <w:i/>
          <w:iCs/>
          <w:color w:val="222222"/>
          <w:sz w:val="20"/>
          <w:szCs w:val="20"/>
          <w:shd w:val="clear" w:color="auto" w:fill="FFFFFF"/>
        </w:rPr>
        <w:t>Environmental earth sciences</w:t>
      </w:r>
      <w:r w:rsidR="009C4D86" w:rsidRPr="005C1394">
        <w:rPr>
          <w:rFonts w:cstheme="minorHAnsi"/>
          <w:color w:val="222222"/>
          <w:sz w:val="20"/>
          <w:szCs w:val="20"/>
          <w:shd w:val="clear" w:color="auto" w:fill="FFFFFF"/>
        </w:rPr>
        <w:t> 75 (2016): 1-21.</w:t>
      </w:r>
      <w:r w:rsidR="005C1394" w:rsidRPr="005C1394">
        <w:rPr>
          <w:rFonts w:cstheme="minorHAnsi"/>
          <w:sz w:val="20"/>
          <w:szCs w:val="20"/>
        </w:rPr>
        <w:t xml:space="preserve"> </w:t>
      </w:r>
      <w:hyperlink r:id="rId37" w:tgtFrame="_blank" w:history="1">
        <w:r w:rsidR="005C1394" w:rsidRPr="005C1394">
          <w:rPr>
            <w:rStyle w:val="Hyperlink"/>
            <w:rFonts w:cstheme="minorHAnsi"/>
            <w:sz w:val="20"/>
            <w:szCs w:val="20"/>
          </w:rPr>
          <w:t>https://doi.org/10.1007/s12665-015-5007-1</w:t>
        </w:r>
      </w:hyperlink>
    </w:p>
    <w:p w14:paraId="0A68C064" w14:textId="254DA10E" w:rsidR="0018286A" w:rsidRPr="005C1394" w:rsidRDefault="0018286A" w:rsidP="0018286A">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[15]</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Rizzo, Enzo, Alfonso Santoriello, Luigi Capozzoli, Gregory De Martino, Cristiano Benedetto De Vita, Daniela Musmeci, and Felice Perciante. "Geophysical survey and archaeological data at Masseria Grasso (Benevento, Italy)." </w:t>
      </w:r>
      <w:r w:rsidR="009C4D86" w:rsidRPr="005C1394">
        <w:rPr>
          <w:rFonts w:cstheme="minorHAnsi"/>
          <w:i/>
          <w:iCs/>
          <w:color w:val="222222"/>
          <w:sz w:val="20"/>
          <w:szCs w:val="20"/>
          <w:shd w:val="clear" w:color="auto" w:fill="FFFFFF"/>
        </w:rPr>
        <w:t>Surveys in Geophysics</w:t>
      </w:r>
      <w:r w:rsidR="009C4D86" w:rsidRPr="005C1394">
        <w:rPr>
          <w:rFonts w:cstheme="minorHAnsi"/>
          <w:color w:val="222222"/>
          <w:sz w:val="20"/>
          <w:szCs w:val="20"/>
          <w:shd w:val="clear" w:color="auto" w:fill="FFFFFF"/>
        </w:rPr>
        <w:t> 39 (2018): 1201-1217.</w:t>
      </w:r>
      <w:r w:rsidR="005C1394" w:rsidRPr="005C1394">
        <w:rPr>
          <w:rFonts w:cstheme="minorHAnsi"/>
          <w:sz w:val="20"/>
          <w:szCs w:val="20"/>
        </w:rPr>
        <w:t xml:space="preserve"> </w:t>
      </w:r>
      <w:hyperlink r:id="rId38" w:tgtFrame="_blank" w:history="1">
        <w:r w:rsidR="005C1394" w:rsidRPr="005C1394">
          <w:rPr>
            <w:rStyle w:val="Hyperlink"/>
            <w:rFonts w:cstheme="minorHAnsi"/>
            <w:sz w:val="20"/>
            <w:szCs w:val="20"/>
          </w:rPr>
          <w:t>https://doi.org/10.1007/s10712-018-9494-y</w:t>
        </w:r>
      </w:hyperlink>
    </w:p>
    <w:p w14:paraId="6FA97C50" w14:textId="5472829C" w:rsidR="0018286A" w:rsidRPr="005C1394" w:rsidRDefault="0018286A" w:rsidP="0018286A">
      <w:pPr>
        <w:tabs>
          <w:tab w:val="left" w:pos="0"/>
          <w:tab w:val="left" w:pos="284"/>
        </w:tabs>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[16]</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Agapiou, Athos, Diofantos G. Hadjimitsis, Apostolos Sarris, Andreas Georgopoulos, and Dimitrios D. Alexakis. "Optimum temporal and spectral window for monitoring crop marks over archaeological remains in the Mediterranean region." </w:t>
      </w:r>
      <w:r w:rsidR="009C4D86" w:rsidRPr="005C1394">
        <w:rPr>
          <w:rFonts w:cstheme="minorHAnsi"/>
          <w:i/>
          <w:iCs/>
          <w:color w:val="222222"/>
          <w:sz w:val="20"/>
          <w:szCs w:val="20"/>
          <w:shd w:val="clear" w:color="auto" w:fill="FFFFFF"/>
        </w:rPr>
        <w:t>Journal of Archaeological Science</w:t>
      </w:r>
      <w:r w:rsidR="009C4D86" w:rsidRPr="005C1394">
        <w:rPr>
          <w:rFonts w:cstheme="minorHAnsi"/>
          <w:color w:val="222222"/>
          <w:sz w:val="20"/>
          <w:szCs w:val="20"/>
          <w:shd w:val="clear" w:color="auto" w:fill="FFFFFF"/>
        </w:rPr>
        <w:t> 40, no. 3 (2013): 1479-1492.</w:t>
      </w:r>
      <w:r w:rsidR="005C1394" w:rsidRPr="005C1394">
        <w:rPr>
          <w:rFonts w:cstheme="minorHAnsi"/>
          <w:sz w:val="20"/>
          <w:szCs w:val="20"/>
        </w:rPr>
        <w:t xml:space="preserve"> </w:t>
      </w:r>
      <w:hyperlink r:id="rId39" w:tgtFrame="_blank" w:history="1">
        <w:r w:rsidR="005C1394" w:rsidRPr="005C1394">
          <w:rPr>
            <w:rStyle w:val="Hyperlink"/>
            <w:rFonts w:cstheme="minorHAnsi"/>
            <w:sz w:val="20"/>
            <w:szCs w:val="20"/>
          </w:rPr>
          <w:t>https://doi.org/10.1016/j.jas.2012.10.036</w:t>
        </w:r>
      </w:hyperlink>
    </w:p>
    <w:p w14:paraId="54130DE9" w14:textId="2DAE99C7" w:rsidR="0018286A" w:rsidRPr="005C1394" w:rsidRDefault="0018286A" w:rsidP="0018286A">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[17]</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Mahdi, Ali M., Ahmed M. Eldosouky, Sayed O. El Khateeb, Ahmed M. Youssef, and Ahlam A. Saad. "Integration of remote sensing and geophysical data for the extraction of hydrothermal alteration zones and lineaments; Gabal Shilman basement area, Southeastern Desert, Egypt." </w:t>
      </w:r>
      <w:r w:rsidR="009C4D86" w:rsidRPr="005C1394">
        <w:rPr>
          <w:rFonts w:cstheme="minorHAnsi"/>
          <w:i/>
          <w:iCs/>
          <w:color w:val="222222"/>
          <w:sz w:val="20"/>
          <w:szCs w:val="20"/>
          <w:shd w:val="clear" w:color="auto" w:fill="FFFFFF"/>
        </w:rPr>
        <w:t>Journal of African Earth Sciences</w:t>
      </w:r>
      <w:r w:rsidR="009C4D86" w:rsidRPr="005C1394">
        <w:rPr>
          <w:rFonts w:cstheme="minorHAnsi"/>
          <w:color w:val="222222"/>
          <w:sz w:val="20"/>
          <w:szCs w:val="20"/>
          <w:shd w:val="clear" w:color="auto" w:fill="FFFFFF"/>
        </w:rPr>
        <w:t> 194 (2022): 104640.</w:t>
      </w:r>
      <w:r w:rsidR="005C1394" w:rsidRPr="005C1394">
        <w:rPr>
          <w:rFonts w:cstheme="minorHAnsi"/>
          <w:sz w:val="20"/>
          <w:szCs w:val="20"/>
        </w:rPr>
        <w:t xml:space="preserve"> </w:t>
      </w:r>
      <w:hyperlink r:id="rId40" w:tgtFrame="_blank" w:history="1">
        <w:r w:rsidR="005C1394" w:rsidRPr="005C1394">
          <w:rPr>
            <w:rStyle w:val="Hyperlink"/>
            <w:rFonts w:cstheme="minorHAnsi"/>
            <w:sz w:val="20"/>
            <w:szCs w:val="20"/>
          </w:rPr>
          <w:t>https://doi.org/10.1016/j.jafrearsci.2022.104640</w:t>
        </w:r>
      </w:hyperlink>
    </w:p>
    <w:p w14:paraId="7A097F6E" w14:textId="708BE20F"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lastRenderedPageBreak/>
        <w:t>[18]</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Rahimzadeganasl, Alireza, Ugur Alganci, and Cigdem Goksel. "An approach for the pan sharpening of very high resolution satellite images using a CIELab color based component substitution algorithm." </w:t>
      </w:r>
      <w:r w:rsidR="009C4D86" w:rsidRPr="005C1394">
        <w:rPr>
          <w:rFonts w:cstheme="minorHAnsi"/>
          <w:i/>
          <w:iCs/>
          <w:color w:val="222222"/>
          <w:sz w:val="20"/>
          <w:szCs w:val="20"/>
          <w:shd w:val="clear" w:color="auto" w:fill="FFFFFF"/>
        </w:rPr>
        <w:t>Applied Sciences</w:t>
      </w:r>
      <w:r w:rsidR="009C4D86" w:rsidRPr="005C1394">
        <w:rPr>
          <w:rFonts w:cstheme="minorHAnsi"/>
          <w:color w:val="222222"/>
          <w:sz w:val="20"/>
          <w:szCs w:val="20"/>
          <w:shd w:val="clear" w:color="auto" w:fill="FFFFFF"/>
        </w:rPr>
        <w:t> 9, no. 23 (2019): 5234.</w:t>
      </w:r>
      <w:r w:rsidR="005C1394" w:rsidRPr="005C1394">
        <w:rPr>
          <w:rFonts w:cstheme="minorHAnsi"/>
          <w:sz w:val="20"/>
          <w:szCs w:val="20"/>
        </w:rPr>
        <w:t xml:space="preserve"> </w:t>
      </w:r>
      <w:hyperlink r:id="rId41" w:tgtFrame="_blank" w:history="1">
        <w:r w:rsidR="005C1394" w:rsidRPr="005C1394">
          <w:rPr>
            <w:rStyle w:val="Hyperlink"/>
            <w:rFonts w:cstheme="minorHAnsi"/>
            <w:sz w:val="20"/>
            <w:szCs w:val="20"/>
          </w:rPr>
          <w:t>https://doi.org/10.3390/app9235234</w:t>
        </w:r>
      </w:hyperlink>
    </w:p>
    <w:p w14:paraId="596A8C5B" w14:textId="4B73FF52"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[19]</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Gupta, Ekta, Sonia Das, and M. B. Rajani. "Archaeological exploration in Srirangapatna and its environ through remote sensing analysis." </w:t>
      </w:r>
      <w:r w:rsidR="009C4D86" w:rsidRPr="005C1394">
        <w:rPr>
          <w:rFonts w:cstheme="minorHAnsi"/>
          <w:i/>
          <w:iCs/>
          <w:color w:val="222222"/>
          <w:sz w:val="20"/>
          <w:szCs w:val="20"/>
          <w:shd w:val="clear" w:color="auto" w:fill="FFFFFF"/>
        </w:rPr>
        <w:t>Journal of the Indian Society of Remote Sensing</w:t>
      </w:r>
      <w:r w:rsidR="009C4D86" w:rsidRPr="005C1394">
        <w:rPr>
          <w:rFonts w:cstheme="minorHAnsi"/>
          <w:color w:val="222222"/>
          <w:sz w:val="20"/>
          <w:szCs w:val="20"/>
          <w:shd w:val="clear" w:color="auto" w:fill="FFFFFF"/>
        </w:rPr>
        <w:t> 45 (2017): 1057-1063.</w:t>
      </w:r>
      <w:r w:rsidR="005C1394" w:rsidRPr="005C1394">
        <w:rPr>
          <w:rFonts w:cstheme="minorHAnsi"/>
          <w:sz w:val="20"/>
          <w:szCs w:val="20"/>
        </w:rPr>
        <w:t xml:space="preserve"> </w:t>
      </w:r>
      <w:hyperlink r:id="rId42" w:tgtFrame="_blank" w:history="1">
        <w:r w:rsidR="005C1394" w:rsidRPr="005C1394">
          <w:rPr>
            <w:rStyle w:val="Hyperlink"/>
            <w:rFonts w:cstheme="minorHAnsi"/>
            <w:sz w:val="20"/>
            <w:szCs w:val="20"/>
          </w:rPr>
          <w:t>https://doi.org/10.1007/s12524-017-0659-9</w:t>
        </w:r>
      </w:hyperlink>
    </w:p>
    <w:p w14:paraId="67976063" w14:textId="1945DE04"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[20]</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Beloev, Ivan H. "A review on current and emerging application possibilities for unmanned aerial vehicles." </w:t>
      </w:r>
      <w:r w:rsidR="009C4D86" w:rsidRPr="005C1394">
        <w:rPr>
          <w:rFonts w:cstheme="minorHAnsi"/>
          <w:i/>
          <w:iCs/>
          <w:color w:val="222222"/>
          <w:sz w:val="20"/>
          <w:szCs w:val="20"/>
          <w:shd w:val="clear" w:color="auto" w:fill="FFFFFF"/>
        </w:rPr>
        <w:t>Acta technologica agriculturae</w:t>
      </w:r>
      <w:r w:rsidR="009C4D86" w:rsidRPr="005C1394">
        <w:rPr>
          <w:rFonts w:cstheme="minorHAnsi"/>
          <w:color w:val="222222"/>
          <w:sz w:val="20"/>
          <w:szCs w:val="20"/>
          <w:shd w:val="clear" w:color="auto" w:fill="FFFFFF"/>
        </w:rPr>
        <w:t> 19, no. 3 (2016): 70-76.</w:t>
      </w:r>
      <w:r w:rsidR="005C1394" w:rsidRPr="005C1394">
        <w:rPr>
          <w:rFonts w:cstheme="minorHAnsi"/>
          <w:sz w:val="20"/>
          <w:szCs w:val="20"/>
        </w:rPr>
        <w:t xml:space="preserve"> </w:t>
      </w:r>
      <w:hyperlink r:id="rId43" w:tgtFrame="_blank" w:history="1">
        <w:r w:rsidR="005C1394" w:rsidRPr="005C1394">
          <w:rPr>
            <w:rStyle w:val="Hyperlink"/>
            <w:rFonts w:cstheme="minorHAnsi"/>
            <w:sz w:val="20"/>
            <w:szCs w:val="20"/>
          </w:rPr>
          <w:t>https://doi.org/10.1515/ata-2016-0015</w:t>
        </w:r>
      </w:hyperlink>
    </w:p>
    <w:p w14:paraId="3559B44B" w14:textId="3BBB47C6"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[21]</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Melillos, George, Athos Agapiou, Kyriacos Themistocleous, Silas Michaelides, George Papadavid, and Diofantos G. Hadjimitsis. "Field spectroscopy for the detection of underground military structures." </w:t>
      </w:r>
      <w:r w:rsidR="009C4D86" w:rsidRPr="005C1394">
        <w:rPr>
          <w:rFonts w:cstheme="minorHAnsi"/>
          <w:i/>
          <w:iCs/>
          <w:color w:val="222222"/>
          <w:sz w:val="20"/>
          <w:szCs w:val="20"/>
          <w:shd w:val="clear" w:color="auto" w:fill="FFFFFF"/>
        </w:rPr>
        <w:t>European Journal of Remote Sensing</w:t>
      </w:r>
      <w:r w:rsidR="009C4D86" w:rsidRPr="005C1394">
        <w:rPr>
          <w:rFonts w:cstheme="minorHAnsi"/>
          <w:color w:val="222222"/>
          <w:sz w:val="20"/>
          <w:szCs w:val="20"/>
          <w:shd w:val="clear" w:color="auto" w:fill="FFFFFF"/>
        </w:rPr>
        <w:t> 52, no. 1 (2019): 385-399.</w:t>
      </w:r>
      <w:r w:rsidR="005C1394" w:rsidRPr="005C1394">
        <w:rPr>
          <w:rFonts w:cstheme="minorHAnsi"/>
          <w:sz w:val="20"/>
          <w:szCs w:val="20"/>
        </w:rPr>
        <w:t xml:space="preserve"> </w:t>
      </w:r>
      <w:hyperlink r:id="rId44" w:tgtFrame="_blank" w:history="1">
        <w:r w:rsidR="005C1394" w:rsidRPr="005C1394">
          <w:rPr>
            <w:rStyle w:val="Hyperlink"/>
            <w:rFonts w:cstheme="minorHAnsi"/>
            <w:sz w:val="20"/>
            <w:szCs w:val="20"/>
          </w:rPr>
          <w:t>https://doi.org/10.1080/22797254.2019.1625075</w:t>
        </w:r>
      </w:hyperlink>
    </w:p>
    <w:p w14:paraId="4D668487" w14:textId="2C93E1D6"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[22]</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Gennaro, Andrea, Alessio Candiano, Gabriele Fargione, Michele Mangiameli, and Giuseppe Mussumeci. "Multispectral remote sensing for post‐dictive analysis of archaeological remains. A case study from Bronte (Sicily)." </w:t>
      </w:r>
      <w:r w:rsidR="009C4D86" w:rsidRPr="005C1394">
        <w:rPr>
          <w:rFonts w:cstheme="minorHAnsi"/>
          <w:i/>
          <w:iCs/>
          <w:color w:val="222222"/>
          <w:sz w:val="20"/>
          <w:szCs w:val="20"/>
          <w:shd w:val="clear" w:color="auto" w:fill="FFFFFF"/>
        </w:rPr>
        <w:t>Archaeological prospection</w:t>
      </w:r>
      <w:r w:rsidR="009C4D86" w:rsidRPr="005C1394">
        <w:rPr>
          <w:rFonts w:cstheme="minorHAnsi"/>
          <w:color w:val="222222"/>
          <w:sz w:val="20"/>
          <w:szCs w:val="20"/>
          <w:shd w:val="clear" w:color="auto" w:fill="FFFFFF"/>
        </w:rPr>
        <w:t> 26, no. 4 (2019): 299-311.</w:t>
      </w:r>
      <w:r w:rsidR="005C1394" w:rsidRPr="005C1394">
        <w:rPr>
          <w:rFonts w:cstheme="minorHAnsi"/>
          <w:sz w:val="20"/>
          <w:szCs w:val="20"/>
        </w:rPr>
        <w:t xml:space="preserve"> </w:t>
      </w:r>
      <w:hyperlink r:id="rId45" w:tgtFrame="_blank" w:history="1">
        <w:r w:rsidR="005C1394" w:rsidRPr="005C1394">
          <w:rPr>
            <w:rStyle w:val="Hyperlink"/>
            <w:rFonts w:cstheme="minorHAnsi"/>
            <w:sz w:val="20"/>
            <w:szCs w:val="20"/>
          </w:rPr>
          <w:t>https://doi.org/10.1002/arp.1745</w:t>
        </w:r>
      </w:hyperlink>
    </w:p>
    <w:p w14:paraId="70F6FC5E" w14:textId="041C2901"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[23]</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Kirimi, Fridah, David Ndegwa Kuria, Frank Thonfeld, Esther Amler, Kenneth Mubea, Salome Misana, and Gunter Menz. "Influence of vegetation cover on the oh soil moisture retrieval model: a case study of the Malinda Wetland, Tanzania." (2016).</w:t>
      </w:r>
      <w:r w:rsidR="005C1394" w:rsidRPr="005C1394">
        <w:rPr>
          <w:rFonts w:cstheme="minorHAnsi"/>
          <w:sz w:val="20"/>
          <w:szCs w:val="20"/>
        </w:rPr>
        <w:t xml:space="preserve"> </w:t>
      </w:r>
      <w:hyperlink r:id="rId46" w:tgtFrame="_blank" w:history="1">
        <w:r w:rsidR="005C1394" w:rsidRPr="005C1394">
          <w:rPr>
            <w:rStyle w:val="Hyperlink"/>
            <w:rFonts w:cstheme="minorHAnsi"/>
            <w:sz w:val="20"/>
            <w:szCs w:val="20"/>
          </w:rPr>
          <w:t>https://doi.org/10.4236/ars.2016.51003</w:t>
        </w:r>
      </w:hyperlink>
    </w:p>
    <w:p w14:paraId="4E3C8D5F" w14:textId="318EC99B" w:rsidR="0018286A" w:rsidRPr="005C1394" w:rsidRDefault="0018286A" w:rsidP="0018286A">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color w:val="000000" w:themeColor="text1"/>
          <w:sz w:val="20"/>
          <w:szCs w:val="20"/>
          <w:shd w:val="clear" w:color="auto" w:fill="FFFFFF"/>
        </w:rPr>
        <w:t>[24]</w:t>
      </w:r>
      <w:r w:rsidRPr="005C1394">
        <w:rPr>
          <w:rFonts w:cstheme="minorHAnsi"/>
          <w:color w:val="000000" w:themeColor="text1"/>
          <w:sz w:val="20"/>
          <w:szCs w:val="20"/>
          <w:shd w:val="clear" w:color="auto" w:fill="FFFFFF"/>
        </w:rPr>
        <w:tab/>
      </w:r>
      <w:r w:rsidR="009C4D86" w:rsidRPr="005C1394">
        <w:rPr>
          <w:rFonts w:cstheme="minorHAnsi"/>
          <w:color w:val="222222"/>
          <w:sz w:val="20"/>
          <w:szCs w:val="20"/>
          <w:shd w:val="clear" w:color="auto" w:fill="FFFFFF"/>
        </w:rPr>
        <w:t>Agapiou, Athos. "Enhancement of archaeological proxies at non-homogenous environments in Remotely Sensed Imagery." </w:t>
      </w:r>
      <w:r w:rsidR="009C4D86" w:rsidRPr="005C1394">
        <w:rPr>
          <w:rFonts w:cstheme="minorHAnsi"/>
          <w:i/>
          <w:iCs/>
          <w:color w:val="222222"/>
          <w:sz w:val="20"/>
          <w:szCs w:val="20"/>
          <w:shd w:val="clear" w:color="auto" w:fill="FFFFFF"/>
        </w:rPr>
        <w:t>Sustainability</w:t>
      </w:r>
      <w:r w:rsidR="009C4D86" w:rsidRPr="005C1394">
        <w:rPr>
          <w:rFonts w:cstheme="minorHAnsi"/>
          <w:color w:val="222222"/>
          <w:sz w:val="20"/>
          <w:szCs w:val="20"/>
          <w:shd w:val="clear" w:color="auto" w:fill="FFFFFF"/>
        </w:rPr>
        <w:t> 11, no. 12 (2019): 3339.</w:t>
      </w:r>
      <w:r w:rsidR="005C1394" w:rsidRPr="005C1394">
        <w:rPr>
          <w:rFonts w:cstheme="minorHAnsi"/>
          <w:sz w:val="20"/>
          <w:szCs w:val="20"/>
        </w:rPr>
        <w:t xml:space="preserve"> </w:t>
      </w:r>
      <w:hyperlink r:id="rId47" w:tgtFrame="_blank" w:history="1">
        <w:r w:rsidR="005C1394" w:rsidRPr="005C1394">
          <w:rPr>
            <w:rStyle w:val="Hyperlink"/>
            <w:rFonts w:cstheme="minorHAnsi"/>
            <w:sz w:val="20"/>
            <w:szCs w:val="20"/>
          </w:rPr>
          <w:t>https://doi.org/10.3390/su11123339</w:t>
        </w:r>
      </w:hyperlink>
    </w:p>
    <w:p w14:paraId="04084CA8" w14:textId="4AE77637" w:rsidR="0018286A" w:rsidRPr="005C1394" w:rsidRDefault="0018286A" w:rsidP="0018286A">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[25]</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Fuldain González, Juan José, and Félix Rafael Varón Hernández. "NDVI identification and survey of a Roman road in the Northern Spanish province of Álava." </w:t>
      </w:r>
      <w:r w:rsidR="009C4D86" w:rsidRPr="005C1394">
        <w:rPr>
          <w:rFonts w:cstheme="minorHAnsi"/>
          <w:i/>
          <w:iCs/>
          <w:color w:val="222222"/>
          <w:sz w:val="20"/>
          <w:szCs w:val="20"/>
          <w:shd w:val="clear" w:color="auto" w:fill="FFFFFF"/>
        </w:rPr>
        <w:t>Remote Sensing</w:t>
      </w:r>
      <w:r w:rsidR="009C4D86" w:rsidRPr="005C1394">
        <w:rPr>
          <w:rFonts w:cstheme="minorHAnsi"/>
          <w:color w:val="222222"/>
          <w:sz w:val="20"/>
          <w:szCs w:val="20"/>
          <w:shd w:val="clear" w:color="auto" w:fill="FFFFFF"/>
        </w:rPr>
        <w:t> 11, no. 6 (2019): 725.</w:t>
      </w:r>
      <w:r w:rsidR="005C1394" w:rsidRPr="005C1394">
        <w:rPr>
          <w:rFonts w:cstheme="minorHAnsi"/>
          <w:sz w:val="20"/>
          <w:szCs w:val="20"/>
        </w:rPr>
        <w:t xml:space="preserve"> </w:t>
      </w:r>
      <w:hyperlink r:id="rId48" w:tgtFrame="_blank" w:history="1">
        <w:r w:rsidR="005C1394" w:rsidRPr="005C1394">
          <w:rPr>
            <w:rStyle w:val="Hyperlink"/>
            <w:rFonts w:cstheme="minorHAnsi"/>
            <w:sz w:val="20"/>
            <w:szCs w:val="20"/>
          </w:rPr>
          <w:t>https://doi.org/10.3390/rs11060725</w:t>
        </w:r>
      </w:hyperlink>
    </w:p>
    <w:p w14:paraId="4D718606" w14:textId="280640D0" w:rsidR="0018286A" w:rsidRPr="005C1394" w:rsidRDefault="0018286A" w:rsidP="0018286A">
      <w:pPr>
        <w:tabs>
          <w:tab w:val="left" w:pos="0"/>
          <w:tab w:val="left" w:pos="284"/>
        </w:tabs>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[26]</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Díaz-Delgado, Ricardo, Gábor Ónodi, György Kröel-Dulay, and Miklós Kertész. "Enhancement of ecological field experimental research by means of UAV multispectral sensing." </w:t>
      </w:r>
      <w:r w:rsidR="009C4D86" w:rsidRPr="005C1394">
        <w:rPr>
          <w:rFonts w:cstheme="minorHAnsi"/>
          <w:i/>
          <w:iCs/>
          <w:color w:val="222222"/>
          <w:sz w:val="20"/>
          <w:szCs w:val="20"/>
          <w:shd w:val="clear" w:color="auto" w:fill="FFFFFF"/>
        </w:rPr>
        <w:t>Drones</w:t>
      </w:r>
      <w:r w:rsidR="009C4D86" w:rsidRPr="005C1394">
        <w:rPr>
          <w:rFonts w:cstheme="minorHAnsi"/>
          <w:color w:val="222222"/>
          <w:sz w:val="20"/>
          <w:szCs w:val="20"/>
          <w:shd w:val="clear" w:color="auto" w:fill="FFFFFF"/>
        </w:rPr>
        <w:t> 3, no. 1 (2019): 7.</w:t>
      </w:r>
      <w:r w:rsidR="005C1394" w:rsidRPr="005C1394">
        <w:rPr>
          <w:rFonts w:cstheme="minorHAnsi"/>
          <w:sz w:val="20"/>
          <w:szCs w:val="20"/>
        </w:rPr>
        <w:t xml:space="preserve"> </w:t>
      </w:r>
      <w:hyperlink r:id="rId49" w:tgtFrame="_blank" w:history="1">
        <w:r w:rsidR="005C1394" w:rsidRPr="005C1394">
          <w:rPr>
            <w:rStyle w:val="Hyperlink"/>
            <w:rFonts w:cstheme="minorHAnsi"/>
            <w:sz w:val="20"/>
            <w:szCs w:val="20"/>
          </w:rPr>
          <w:t>https://doi.org/10.3390/drones3010007</w:t>
        </w:r>
      </w:hyperlink>
    </w:p>
    <w:p w14:paraId="172F687A" w14:textId="56892430" w:rsidR="0018286A" w:rsidRPr="005C1394" w:rsidRDefault="0018286A" w:rsidP="0018286A">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[27]</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Heggy, Essam, Jonathan Normand, Elizabeth M. Palmer, and Abotalib Z. Abotalib. "Exploring the nature of buried linear features in the Qatar peninsula: Archaeological and paleoclimatic implications." </w:t>
      </w:r>
      <w:r w:rsidR="009C4D86" w:rsidRPr="005C1394">
        <w:rPr>
          <w:rFonts w:cstheme="minorHAnsi"/>
          <w:i/>
          <w:iCs/>
          <w:color w:val="222222"/>
          <w:sz w:val="20"/>
          <w:szCs w:val="20"/>
          <w:shd w:val="clear" w:color="auto" w:fill="FFFFFF"/>
        </w:rPr>
        <w:t>ISPRS Journal of Photogrammetry and Remote Sensing</w:t>
      </w:r>
      <w:r w:rsidR="009C4D86" w:rsidRPr="005C1394">
        <w:rPr>
          <w:rFonts w:cstheme="minorHAnsi"/>
          <w:color w:val="222222"/>
          <w:sz w:val="20"/>
          <w:szCs w:val="20"/>
          <w:shd w:val="clear" w:color="auto" w:fill="FFFFFF"/>
        </w:rPr>
        <w:t> 183 (2022): 210-227.</w:t>
      </w:r>
      <w:r w:rsidR="005C1394" w:rsidRPr="005C1394">
        <w:rPr>
          <w:rFonts w:cstheme="minorHAnsi"/>
          <w:sz w:val="20"/>
          <w:szCs w:val="20"/>
        </w:rPr>
        <w:t xml:space="preserve"> </w:t>
      </w:r>
      <w:hyperlink r:id="rId50" w:tgtFrame="_blank" w:history="1">
        <w:r w:rsidR="005C1394" w:rsidRPr="005C1394">
          <w:rPr>
            <w:rStyle w:val="Hyperlink"/>
            <w:rFonts w:cstheme="minorHAnsi"/>
            <w:sz w:val="20"/>
            <w:szCs w:val="20"/>
          </w:rPr>
          <w:t>https://doi.org/10.1016/j.isprsjprs.2021.10.007</w:t>
        </w:r>
      </w:hyperlink>
    </w:p>
    <w:p w14:paraId="10C7D110" w14:textId="50E0B79B" w:rsidR="0018286A" w:rsidRPr="005C1394" w:rsidRDefault="0018286A" w:rsidP="009C4D86">
      <w:pPr>
        <w:tabs>
          <w:tab w:val="left" w:pos="2985"/>
        </w:tabs>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[28]</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Hussein, Nidal M., and Mohammed N. Assaf. "Multispectral Remote Sensing Utilization for Monitoring Chlorophyll‐a Levels in Inland Water Bodies in Jordan." </w:t>
      </w:r>
      <w:r w:rsidR="009C4D86" w:rsidRPr="005C1394">
        <w:rPr>
          <w:rFonts w:cstheme="minorHAnsi"/>
          <w:i/>
          <w:iCs/>
          <w:color w:val="222222"/>
          <w:sz w:val="20"/>
          <w:szCs w:val="20"/>
          <w:shd w:val="clear" w:color="auto" w:fill="FFFFFF"/>
        </w:rPr>
        <w:t>The Scientific World Journal</w:t>
      </w:r>
      <w:r w:rsidR="009C4D86" w:rsidRPr="005C1394">
        <w:rPr>
          <w:rFonts w:cstheme="minorHAnsi"/>
          <w:color w:val="222222"/>
          <w:sz w:val="20"/>
          <w:szCs w:val="20"/>
          <w:shd w:val="clear" w:color="auto" w:fill="FFFFFF"/>
        </w:rPr>
        <w:t> 2020, no. 1 (2020): 5060969.</w:t>
      </w:r>
      <w:r w:rsidR="005C1394" w:rsidRPr="005C1394">
        <w:rPr>
          <w:rFonts w:cstheme="minorHAnsi"/>
          <w:sz w:val="20"/>
          <w:szCs w:val="20"/>
        </w:rPr>
        <w:t xml:space="preserve"> </w:t>
      </w:r>
      <w:hyperlink r:id="rId51" w:tgtFrame="_blank" w:history="1">
        <w:r w:rsidR="005C1394" w:rsidRPr="005C1394">
          <w:rPr>
            <w:rStyle w:val="Hyperlink"/>
            <w:rFonts w:cstheme="minorHAnsi"/>
            <w:sz w:val="20"/>
            <w:szCs w:val="20"/>
          </w:rPr>
          <w:t>https://doi.org/10.1155/2020/5060969</w:t>
        </w:r>
      </w:hyperlink>
    </w:p>
    <w:p w14:paraId="5CAC03E4" w14:textId="643F7734"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[29]</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Luo, Lei, Xinyuan Wang, Huadong Guo, Rosa Lasaponara, Xin Zong, Nicola Masini, Guizhou Wang et al. "Airborne and spaceborne remote sensing for archaeological and cultural heritage applications: A review of the century (1907–2017)." </w:t>
      </w:r>
      <w:r w:rsidR="009C4D86" w:rsidRPr="005C1394">
        <w:rPr>
          <w:rFonts w:cstheme="minorHAnsi"/>
          <w:i/>
          <w:iCs/>
          <w:color w:val="222222"/>
          <w:sz w:val="20"/>
          <w:szCs w:val="20"/>
          <w:shd w:val="clear" w:color="auto" w:fill="FFFFFF"/>
        </w:rPr>
        <w:t>Remote sensing of environment</w:t>
      </w:r>
      <w:r w:rsidR="009C4D86" w:rsidRPr="005C1394">
        <w:rPr>
          <w:rFonts w:cstheme="minorHAnsi"/>
          <w:color w:val="222222"/>
          <w:sz w:val="20"/>
          <w:szCs w:val="20"/>
          <w:shd w:val="clear" w:color="auto" w:fill="FFFFFF"/>
        </w:rPr>
        <w:t> 232 (2019): 111280.</w:t>
      </w:r>
      <w:r w:rsidR="005C1394" w:rsidRPr="005C1394">
        <w:rPr>
          <w:rFonts w:cstheme="minorHAnsi"/>
          <w:sz w:val="20"/>
          <w:szCs w:val="20"/>
        </w:rPr>
        <w:t xml:space="preserve"> </w:t>
      </w:r>
      <w:hyperlink r:id="rId52" w:tgtFrame="_blank" w:history="1">
        <w:r w:rsidR="005C1394" w:rsidRPr="005C1394">
          <w:rPr>
            <w:rStyle w:val="Hyperlink"/>
            <w:rFonts w:cstheme="minorHAnsi"/>
            <w:sz w:val="20"/>
            <w:szCs w:val="20"/>
          </w:rPr>
          <w:t>https://doi.org/10.1016/j.rse.2019.111280</w:t>
        </w:r>
      </w:hyperlink>
    </w:p>
    <w:p w14:paraId="4E1E1AB1" w14:textId="35C1735C"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[30]</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Moriarty, Charles, Dave C. Cowley, Tom Wade, and Caroline J. Nichol. "Deploying multispectral remote sensing for multi‐temporal analysis of archaeological crop stress at Ravenshall, Fife, Scotland." </w:t>
      </w:r>
      <w:r w:rsidR="009C4D86" w:rsidRPr="005C1394">
        <w:rPr>
          <w:rFonts w:cstheme="minorHAnsi"/>
          <w:i/>
          <w:iCs/>
          <w:color w:val="222222"/>
          <w:sz w:val="20"/>
          <w:szCs w:val="20"/>
          <w:shd w:val="clear" w:color="auto" w:fill="FFFFFF"/>
        </w:rPr>
        <w:t>Archaeological Prospection</w:t>
      </w:r>
      <w:r w:rsidR="009C4D86" w:rsidRPr="005C1394">
        <w:rPr>
          <w:rFonts w:cstheme="minorHAnsi"/>
          <w:color w:val="222222"/>
          <w:sz w:val="20"/>
          <w:szCs w:val="20"/>
          <w:shd w:val="clear" w:color="auto" w:fill="FFFFFF"/>
        </w:rPr>
        <w:t> 26, no. 1 (2019): 33-46.</w:t>
      </w:r>
      <w:r w:rsidR="005C1394" w:rsidRPr="005C1394">
        <w:rPr>
          <w:rFonts w:cstheme="minorHAnsi"/>
          <w:sz w:val="20"/>
          <w:szCs w:val="20"/>
        </w:rPr>
        <w:t xml:space="preserve"> </w:t>
      </w:r>
      <w:hyperlink r:id="rId53" w:tgtFrame="_blank" w:history="1">
        <w:r w:rsidR="005C1394" w:rsidRPr="005C1394">
          <w:rPr>
            <w:rStyle w:val="Hyperlink"/>
            <w:rFonts w:cstheme="minorHAnsi"/>
            <w:sz w:val="20"/>
            <w:szCs w:val="20"/>
          </w:rPr>
          <w:t>https://doi.org/10.1002/arp.1721</w:t>
        </w:r>
      </w:hyperlink>
    </w:p>
    <w:p w14:paraId="73F2E279" w14:textId="47A332CD"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[31]</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Roslan, Shairatul Akma, Fitri Yakub, Mokhtar Saidin, Shuib Rambat, Mohamed Attwa, and Mohd Zamzuri Ab Rashid. "A Comparative Assessment for the Archaeological Features Detection Using an Integration of Aerial Remote Sensing and Electrical Resistivity in Sungai Batu, Bujang Valley." </w:t>
      </w:r>
      <w:r w:rsidR="009C4D86" w:rsidRPr="005C1394">
        <w:rPr>
          <w:rFonts w:cstheme="minorHAnsi"/>
          <w:i/>
          <w:iCs/>
          <w:color w:val="222222"/>
          <w:sz w:val="20"/>
          <w:szCs w:val="20"/>
          <w:shd w:val="clear" w:color="auto" w:fill="FFFFFF"/>
        </w:rPr>
        <w:t>Journal of the Indian Society of Remote Sensing</w:t>
      </w:r>
      <w:r w:rsidR="009C4D86" w:rsidRPr="005C1394">
        <w:rPr>
          <w:rFonts w:cstheme="minorHAnsi"/>
          <w:color w:val="222222"/>
          <w:sz w:val="20"/>
          <w:szCs w:val="20"/>
          <w:shd w:val="clear" w:color="auto" w:fill="FFFFFF"/>
        </w:rPr>
        <w:t> 49 (2021): 2959-2975.</w:t>
      </w:r>
      <w:r w:rsidR="005C1394" w:rsidRPr="005C1394">
        <w:rPr>
          <w:rFonts w:cstheme="minorHAnsi"/>
          <w:sz w:val="20"/>
          <w:szCs w:val="20"/>
        </w:rPr>
        <w:t xml:space="preserve"> </w:t>
      </w:r>
      <w:hyperlink r:id="rId54" w:tgtFrame="_blank" w:history="1">
        <w:r w:rsidR="005C1394" w:rsidRPr="005C1394">
          <w:rPr>
            <w:rStyle w:val="Hyperlink"/>
            <w:rFonts w:cstheme="minorHAnsi"/>
            <w:sz w:val="20"/>
            <w:szCs w:val="20"/>
          </w:rPr>
          <w:t>https://doi.org/10.1007/s12524-021-01431-5</w:t>
        </w:r>
      </w:hyperlink>
    </w:p>
    <w:p w14:paraId="47E7248F" w14:textId="5524B118"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[32]</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Taha, Adi Haji. "Archaeology in Peninsular Malaysia: Past, present and future." </w:t>
      </w:r>
      <w:r w:rsidR="009C4D86" w:rsidRPr="005C1394">
        <w:rPr>
          <w:rFonts w:cstheme="minorHAnsi"/>
          <w:i/>
          <w:iCs/>
          <w:color w:val="222222"/>
          <w:sz w:val="20"/>
          <w:szCs w:val="20"/>
          <w:shd w:val="clear" w:color="auto" w:fill="FFFFFF"/>
        </w:rPr>
        <w:t>Journal of Southeast Asian Studies</w:t>
      </w:r>
      <w:r w:rsidR="009C4D86" w:rsidRPr="005C1394">
        <w:rPr>
          <w:rFonts w:cstheme="minorHAnsi"/>
          <w:color w:val="222222"/>
          <w:sz w:val="20"/>
          <w:szCs w:val="20"/>
          <w:shd w:val="clear" w:color="auto" w:fill="FFFFFF"/>
        </w:rPr>
        <w:t> 18, no. 2 (1987): 205-211.</w:t>
      </w:r>
      <w:r w:rsidR="005C1394" w:rsidRPr="005C1394">
        <w:rPr>
          <w:rFonts w:cstheme="minorHAnsi"/>
          <w:sz w:val="20"/>
          <w:szCs w:val="20"/>
        </w:rPr>
        <w:t xml:space="preserve"> </w:t>
      </w:r>
      <w:hyperlink r:id="rId55" w:tgtFrame="_blank" w:history="1">
        <w:r w:rsidR="005C1394" w:rsidRPr="005C1394">
          <w:rPr>
            <w:rStyle w:val="Hyperlink"/>
            <w:rFonts w:cstheme="minorHAnsi"/>
            <w:sz w:val="20"/>
            <w:szCs w:val="20"/>
          </w:rPr>
          <w:t>https://doi.org/10.1017/S0022463400020506</w:t>
        </w:r>
      </w:hyperlink>
    </w:p>
    <w:p w14:paraId="09724B4F" w14:textId="47A58A7D"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[33]</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Rahman, Nik Hassan Shuhaimi Bin Nik Abd, and Kamaruddin Bin Zakaria. "Recent archaeological discoveries in Sungai Mas, Kuala Muda, Kedah." </w:t>
      </w:r>
      <w:r w:rsidR="009C4D86" w:rsidRPr="005C1394">
        <w:rPr>
          <w:rFonts w:cstheme="minorHAnsi"/>
          <w:i/>
          <w:iCs/>
          <w:color w:val="222222"/>
          <w:sz w:val="20"/>
          <w:szCs w:val="20"/>
          <w:shd w:val="clear" w:color="auto" w:fill="FFFFFF"/>
        </w:rPr>
        <w:t>Journal of the Malaysian Branch of the Royal Asiatic Society</w:t>
      </w:r>
      <w:r w:rsidR="009C4D86" w:rsidRPr="005C1394">
        <w:rPr>
          <w:rFonts w:cstheme="minorHAnsi"/>
          <w:color w:val="222222"/>
          <w:sz w:val="20"/>
          <w:szCs w:val="20"/>
          <w:shd w:val="clear" w:color="auto" w:fill="FFFFFF"/>
        </w:rPr>
        <w:t> 66, no. 2 (265 (1993): 73-80.</w:t>
      </w:r>
    </w:p>
    <w:p w14:paraId="00BFC283" w14:textId="318F54BA" w:rsidR="0018286A" w:rsidRPr="005C1394" w:rsidRDefault="0018286A" w:rsidP="0018286A">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color w:val="000000" w:themeColor="text1"/>
          <w:sz w:val="20"/>
          <w:szCs w:val="20"/>
          <w:shd w:val="clear" w:color="auto" w:fill="FFFFFF"/>
        </w:rPr>
        <w:t>[34]</w:t>
      </w:r>
      <w:r w:rsidRPr="005C1394">
        <w:rPr>
          <w:rFonts w:cstheme="minorHAnsi"/>
          <w:color w:val="000000" w:themeColor="text1"/>
          <w:sz w:val="20"/>
          <w:szCs w:val="20"/>
          <w:shd w:val="clear" w:color="auto" w:fill="FFFFFF"/>
        </w:rPr>
        <w:tab/>
      </w:r>
      <w:r w:rsidR="009C4D86" w:rsidRPr="005C1394">
        <w:rPr>
          <w:rFonts w:cstheme="minorHAnsi"/>
          <w:color w:val="222222"/>
          <w:sz w:val="20"/>
          <w:szCs w:val="20"/>
          <w:shd w:val="clear" w:color="auto" w:fill="FFFFFF"/>
        </w:rPr>
        <w:t>Khoo, T. T. "Geomorphological evolution of the Merbok estuary area and its impact on the early state of Kedah, northwest peninsular Malaysia." </w:t>
      </w:r>
      <w:r w:rsidR="009C4D86" w:rsidRPr="005C1394">
        <w:rPr>
          <w:rFonts w:cstheme="minorHAnsi"/>
          <w:i/>
          <w:iCs/>
          <w:color w:val="222222"/>
          <w:sz w:val="20"/>
          <w:szCs w:val="20"/>
          <w:shd w:val="clear" w:color="auto" w:fill="FFFFFF"/>
        </w:rPr>
        <w:t>Journal of Southeast Asian Earth Sciences</w:t>
      </w:r>
      <w:r w:rsidR="009C4D86" w:rsidRPr="005C1394">
        <w:rPr>
          <w:rFonts w:cstheme="minorHAnsi"/>
          <w:color w:val="222222"/>
          <w:sz w:val="20"/>
          <w:szCs w:val="20"/>
          <w:shd w:val="clear" w:color="auto" w:fill="FFFFFF"/>
        </w:rPr>
        <w:t> 13, no. 3-5 (1996): 347-371.</w:t>
      </w:r>
      <w:r w:rsidR="005C1394" w:rsidRPr="005C1394">
        <w:rPr>
          <w:rFonts w:cstheme="minorHAnsi"/>
          <w:sz w:val="20"/>
          <w:szCs w:val="20"/>
        </w:rPr>
        <w:t xml:space="preserve"> </w:t>
      </w:r>
      <w:hyperlink r:id="rId56" w:tgtFrame="_blank" w:history="1">
        <w:r w:rsidR="005C1394" w:rsidRPr="005C1394">
          <w:rPr>
            <w:rStyle w:val="Hyperlink"/>
            <w:rFonts w:cstheme="minorHAnsi"/>
            <w:sz w:val="20"/>
            <w:szCs w:val="20"/>
          </w:rPr>
          <w:t>https://doi.org/10.1016/0743-9547(96)00042-6</w:t>
        </w:r>
      </w:hyperlink>
    </w:p>
    <w:p w14:paraId="5795C087" w14:textId="71C01E79" w:rsidR="0018286A" w:rsidRPr="005C1394" w:rsidRDefault="0018286A" w:rsidP="0018286A">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[35]</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Mokhtar, Naizatul Akma, Mokhtar Saidin, and Jeffrey Abdullah. "The ancient iron smelting in Sg. Batu, Bujang valley, Kedah." In </w:t>
      </w:r>
      <w:r w:rsidR="009C4D86" w:rsidRPr="005C1394">
        <w:rPr>
          <w:rFonts w:cstheme="minorHAnsi"/>
          <w:i/>
          <w:iCs/>
          <w:color w:val="222222"/>
          <w:sz w:val="20"/>
          <w:szCs w:val="20"/>
          <w:shd w:val="clear" w:color="auto" w:fill="FFFFFF"/>
        </w:rPr>
        <w:t>Postgraduate student forum presentation, Chinese University of Hong Kong, China</w:t>
      </w:r>
      <w:r w:rsidR="009C4D86" w:rsidRPr="005C1394">
        <w:rPr>
          <w:rFonts w:cstheme="minorHAnsi"/>
          <w:color w:val="222222"/>
          <w:sz w:val="20"/>
          <w:szCs w:val="20"/>
          <w:shd w:val="clear" w:color="auto" w:fill="FFFFFF"/>
        </w:rPr>
        <w:t>. 2011.</w:t>
      </w:r>
    </w:p>
    <w:p w14:paraId="2707E9F1" w14:textId="453FF28B" w:rsidR="0018286A" w:rsidRPr="005C1394" w:rsidRDefault="0018286A" w:rsidP="0018286A">
      <w:pPr>
        <w:tabs>
          <w:tab w:val="left" w:pos="0"/>
          <w:tab w:val="left" w:pos="284"/>
        </w:tabs>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[36]</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Agapiou, Athos, Diofantos G. Hadjimitsis, Andreas Georgopoulos, Apostolos Sarris, and Dimitrios D. Alexakis. "Towards an archaeological index: Identification of the spectral regions of stress vegetation due to buried archaeological remains." In </w:t>
      </w:r>
      <w:r w:rsidR="009C4D86" w:rsidRPr="005C1394">
        <w:rPr>
          <w:rFonts w:cstheme="minorHAnsi"/>
          <w:i/>
          <w:iCs/>
          <w:color w:val="222222"/>
          <w:sz w:val="20"/>
          <w:szCs w:val="20"/>
          <w:shd w:val="clear" w:color="auto" w:fill="FFFFFF"/>
        </w:rPr>
        <w:t>Progress in Cultural Heritage Preservation: 4th International Conference, EuroMed 2012, Limassol, Cyprus, October 29–November 3, 2012. Proceedings 4</w:t>
      </w:r>
      <w:r w:rsidR="009C4D86" w:rsidRPr="005C1394">
        <w:rPr>
          <w:rFonts w:cstheme="minorHAnsi"/>
          <w:color w:val="222222"/>
          <w:sz w:val="20"/>
          <w:szCs w:val="20"/>
          <w:shd w:val="clear" w:color="auto" w:fill="FFFFFF"/>
        </w:rPr>
        <w:t>, pp. 129-138. Springer Berlin Heidelberg, 2012.</w:t>
      </w:r>
      <w:r w:rsidR="005C1394" w:rsidRPr="005C1394">
        <w:rPr>
          <w:rFonts w:cstheme="minorHAnsi"/>
          <w:sz w:val="20"/>
          <w:szCs w:val="20"/>
        </w:rPr>
        <w:t xml:space="preserve"> </w:t>
      </w:r>
      <w:hyperlink r:id="rId57" w:tgtFrame="_blank" w:history="1">
        <w:r w:rsidR="005C1394" w:rsidRPr="005C1394">
          <w:rPr>
            <w:rStyle w:val="Hyperlink"/>
            <w:rFonts w:cstheme="minorHAnsi"/>
            <w:sz w:val="20"/>
            <w:szCs w:val="20"/>
          </w:rPr>
          <w:t>https://doi.org/10.1007/978-3-642-34234-9_13</w:t>
        </w:r>
      </w:hyperlink>
    </w:p>
    <w:p w14:paraId="75A67AE5" w14:textId="56EAE116" w:rsidR="0018286A" w:rsidRPr="005C1394" w:rsidRDefault="0018286A" w:rsidP="0018286A">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lastRenderedPageBreak/>
        <w:t>[37]</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Roslan, Shairatul Akma, Noorzailawati Mohd Noor, Alias Abdullah, and Zuraini Md Ali. "Analysis of shrines properties using remote sensing approach: Case study of Lembah Bujang." </w:t>
      </w:r>
      <w:r w:rsidR="009C4D86" w:rsidRPr="005C1394">
        <w:rPr>
          <w:rFonts w:cstheme="minorHAnsi"/>
          <w:i/>
          <w:iCs/>
          <w:color w:val="222222"/>
          <w:sz w:val="20"/>
          <w:szCs w:val="20"/>
          <w:shd w:val="clear" w:color="auto" w:fill="FFFFFF"/>
        </w:rPr>
        <w:t>PLANNING MALAYSIA</w:t>
      </w:r>
      <w:r w:rsidR="009C4D86" w:rsidRPr="005C1394">
        <w:rPr>
          <w:rFonts w:cstheme="minorHAnsi"/>
          <w:color w:val="222222"/>
          <w:sz w:val="20"/>
          <w:szCs w:val="20"/>
          <w:shd w:val="clear" w:color="auto" w:fill="FFFFFF"/>
        </w:rPr>
        <w:t> 4 (2016).</w:t>
      </w:r>
      <w:r w:rsidR="005C1394" w:rsidRPr="005C1394">
        <w:rPr>
          <w:rFonts w:cstheme="minorHAnsi"/>
          <w:sz w:val="20"/>
          <w:szCs w:val="20"/>
        </w:rPr>
        <w:t xml:space="preserve"> </w:t>
      </w:r>
      <w:hyperlink r:id="rId58" w:tgtFrame="_blank" w:history="1">
        <w:r w:rsidR="005C1394" w:rsidRPr="005C1394">
          <w:rPr>
            <w:rStyle w:val="Hyperlink"/>
            <w:rFonts w:cstheme="minorHAnsi"/>
            <w:sz w:val="20"/>
            <w:szCs w:val="20"/>
          </w:rPr>
          <w:t>https://doi.org/10.21837/pm.v14i4.167</w:t>
        </w:r>
      </w:hyperlink>
    </w:p>
    <w:p w14:paraId="0EC593D0" w14:textId="4CC64131"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[38]</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Verhoeven, Geert, and Christopher Sevara. "Trying to break new ground in aerial archaeology." </w:t>
      </w:r>
      <w:r w:rsidR="009C4D86" w:rsidRPr="005C1394">
        <w:rPr>
          <w:rFonts w:cstheme="minorHAnsi"/>
          <w:i/>
          <w:iCs/>
          <w:color w:val="222222"/>
          <w:sz w:val="20"/>
          <w:szCs w:val="20"/>
          <w:shd w:val="clear" w:color="auto" w:fill="FFFFFF"/>
        </w:rPr>
        <w:t>Remote Sensing</w:t>
      </w:r>
      <w:r w:rsidR="009C4D86" w:rsidRPr="005C1394">
        <w:rPr>
          <w:rFonts w:cstheme="minorHAnsi"/>
          <w:color w:val="222222"/>
          <w:sz w:val="20"/>
          <w:szCs w:val="20"/>
          <w:shd w:val="clear" w:color="auto" w:fill="FFFFFF"/>
        </w:rPr>
        <w:t> 8, no. 11 (2016): 918.</w:t>
      </w:r>
      <w:r w:rsidR="005C1394" w:rsidRPr="005C1394">
        <w:rPr>
          <w:rFonts w:cstheme="minorHAnsi"/>
          <w:sz w:val="20"/>
          <w:szCs w:val="20"/>
        </w:rPr>
        <w:t xml:space="preserve"> </w:t>
      </w:r>
      <w:hyperlink r:id="rId59" w:tgtFrame="_blank" w:history="1">
        <w:r w:rsidR="005C1394" w:rsidRPr="005C1394">
          <w:rPr>
            <w:rStyle w:val="Hyperlink"/>
            <w:rFonts w:cstheme="minorHAnsi"/>
            <w:sz w:val="20"/>
            <w:szCs w:val="20"/>
          </w:rPr>
          <w:t>https://doi.org/10.3390/rs8110918</w:t>
        </w:r>
      </w:hyperlink>
    </w:p>
    <w:p w14:paraId="4CC44656" w14:textId="40C30F0E"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[39]</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Verhoeven, Geert, and Michael Doneus. "Balancing on the Borderline–a Low‐cost Approach to Visualize the Red‐edge Shift for the Benefit of Aerial Archaeology." </w:t>
      </w:r>
      <w:r w:rsidR="009C4D86" w:rsidRPr="005C1394">
        <w:rPr>
          <w:rFonts w:cstheme="minorHAnsi"/>
          <w:i/>
          <w:iCs/>
          <w:color w:val="222222"/>
          <w:sz w:val="20"/>
          <w:szCs w:val="20"/>
          <w:shd w:val="clear" w:color="auto" w:fill="FFFFFF"/>
        </w:rPr>
        <w:t>Archaeological Prospection</w:t>
      </w:r>
      <w:r w:rsidR="009C4D86" w:rsidRPr="005C1394">
        <w:rPr>
          <w:rFonts w:cstheme="minorHAnsi"/>
          <w:color w:val="222222"/>
          <w:sz w:val="20"/>
          <w:szCs w:val="20"/>
          <w:shd w:val="clear" w:color="auto" w:fill="FFFFFF"/>
        </w:rPr>
        <w:t> 18, no. 4 (2011): 267-278.</w:t>
      </w:r>
      <w:r w:rsidR="005C1394" w:rsidRPr="005C1394">
        <w:rPr>
          <w:rFonts w:cstheme="minorHAnsi"/>
          <w:sz w:val="20"/>
          <w:szCs w:val="20"/>
        </w:rPr>
        <w:t xml:space="preserve"> </w:t>
      </w:r>
      <w:hyperlink r:id="rId60" w:tgtFrame="_blank" w:history="1">
        <w:r w:rsidR="005C1394" w:rsidRPr="005C1394">
          <w:rPr>
            <w:rStyle w:val="Hyperlink"/>
            <w:rFonts w:cstheme="minorHAnsi"/>
            <w:sz w:val="20"/>
            <w:szCs w:val="20"/>
          </w:rPr>
          <w:t>https://doi.org/10.1002/arp.420</w:t>
        </w:r>
      </w:hyperlink>
    </w:p>
    <w:p w14:paraId="20CB3ECA" w14:textId="0BBC14B9"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[40]</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Wueste, Elizabeth, Giulia Facchin, and Pier Matteo Barone. "Aventinus Minor Project: Remote Sensing for Archaeological Research in Rome (Italy)." </w:t>
      </w:r>
      <w:r w:rsidR="009C4D86" w:rsidRPr="005C1394">
        <w:rPr>
          <w:rFonts w:cstheme="minorHAnsi"/>
          <w:i/>
          <w:iCs/>
          <w:color w:val="222222"/>
          <w:sz w:val="20"/>
          <w:szCs w:val="20"/>
          <w:shd w:val="clear" w:color="auto" w:fill="FFFFFF"/>
        </w:rPr>
        <w:t>Remote Sensing</w:t>
      </w:r>
      <w:r w:rsidR="009C4D86" w:rsidRPr="005C1394">
        <w:rPr>
          <w:rFonts w:cstheme="minorHAnsi"/>
          <w:color w:val="222222"/>
          <w:sz w:val="20"/>
          <w:szCs w:val="20"/>
          <w:shd w:val="clear" w:color="auto" w:fill="FFFFFF"/>
        </w:rPr>
        <w:t> 14, no. 4 (2022): 959.</w:t>
      </w:r>
      <w:r w:rsidR="005C1394" w:rsidRPr="005C1394">
        <w:rPr>
          <w:rFonts w:cstheme="minorHAnsi"/>
          <w:sz w:val="20"/>
          <w:szCs w:val="20"/>
        </w:rPr>
        <w:t xml:space="preserve"> </w:t>
      </w:r>
      <w:hyperlink r:id="rId61" w:tgtFrame="_blank" w:history="1">
        <w:r w:rsidR="005C1394" w:rsidRPr="005C1394">
          <w:rPr>
            <w:rStyle w:val="Hyperlink"/>
            <w:rFonts w:cstheme="minorHAnsi"/>
            <w:sz w:val="20"/>
            <w:szCs w:val="20"/>
          </w:rPr>
          <w:t>https://doi.org/10.3390/rs14040959</w:t>
        </w:r>
      </w:hyperlink>
    </w:p>
    <w:p w14:paraId="3034944A" w14:textId="07524DB6"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[41]</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Gitelson, Anatoly A., and Mark N. Merzlyak. "Signature analysis of leaf reflectance spectra: algorithm development for remote sensing of chlorophyll." </w:t>
      </w:r>
      <w:r w:rsidR="009C4D86" w:rsidRPr="005C1394">
        <w:rPr>
          <w:rFonts w:cstheme="minorHAnsi"/>
          <w:i/>
          <w:iCs/>
          <w:color w:val="222222"/>
          <w:sz w:val="20"/>
          <w:szCs w:val="20"/>
          <w:shd w:val="clear" w:color="auto" w:fill="FFFFFF"/>
        </w:rPr>
        <w:t>Journal of plant physiology</w:t>
      </w:r>
      <w:r w:rsidR="009C4D86" w:rsidRPr="005C1394">
        <w:rPr>
          <w:rFonts w:cstheme="minorHAnsi"/>
          <w:color w:val="222222"/>
          <w:sz w:val="20"/>
          <w:szCs w:val="20"/>
          <w:shd w:val="clear" w:color="auto" w:fill="FFFFFF"/>
        </w:rPr>
        <w:t> 148, no. 3-4 (1996): 494-500.</w:t>
      </w:r>
      <w:r w:rsidR="005C1394" w:rsidRPr="005C1394">
        <w:rPr>
          <w:rFonts w:cstheme="minorHAnsi"/>
          <w:sz w:val="20"/>
          <w:szCs w:val="20"/>
        </w:rPr>
        <w:t xml:space="preserve"> </w:t>
      </w:r>
      <w:hyperlink r:id="rId62" w:tgtFrame="_blank" w:history="1">
        <w:r w:rsidR="005C1394" w:rsidRPr="005C1394">
          <w:rPr>
            <w:rStyle w:val="Hyperlink"/>
            <w:rFonts w:cstheme="minorHAnsi"/>
            <w:sz w:val="20"/>
            <w:szCs w:val="20"/>
          </w:rPr>
          <w:t>https://doi.org/10.1016/S0176-1617(96)80284-7</w:t>
        </w:r>
      </w:hyperlink>
    </w:p>
    <w:p w14:paraId="6C29AA9B" w14:textId="2BCD41A6"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[42]</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Han, Haoshuang, Rongrong Wan, and Bing Li. "Estimating forest aboveground biomass using Gaofen-1 images, Sentinel-1 images, and machine learning algorithms: A case study of the Dabie Mountain Region, China." </w:t>
      </w:r>
      <w:r w:rsidR="009C4D86" w:rsidRPr="005C1394">
        <w:rPr>
          <w:rFonts w:cstheme="minorHAnsi"/>
          <w:i/>
          <w:iCs/>
          <w:color w:val="222222"/>
          <w:sz w:val="20"/>
          <w:szCs w:val="20"/>
          <w:shd w:val="clear" w:color="auto" w:fill="FFFFFF"/>
        </w:rPr>
        <w:t>Remote Sensing</w:t>
      </w:r>
      <w:r w:rsidR="009C4D86" w:rsidRPr="005C1394">
        <w:rPr>
          <w:rFonts w:cstheme="minorHAnsi"/>
          <w:color w:val="222222"/>
          <w:sz w:val="20"/>
          <w:szCs w:val="20"/>
          <w:shd w:val="clear" w:color="auto" w:fill="FFFFFF"/>
        </w:rPr>
        <w:t> 14, no. 1 (2021): 176.</w:t>
      </w:r>
      <w:r w:rsidR="005C1394" w:rsidRPr="005C1394">
        <w:rPr>
          <w:rFonts w:cstheme="minorHAnsi"/>
          <w:sz w:val="20"/>
          <w:szCs w:val="20"/>
        </w:rPr>
        <w:t xml:space="preserve"> </w:t>
      </w:r>
      <w:hyperlink r:id="rId63" w:tgtFrame="_blank" w:history="1">
        <w:r w:rsidR="005C1394" w:rsidRPr="005C1394">
          <w:rPr>
            <w:rStyle w:val="Hyperlink"/>
            <w:rFonts w:cstheme="minorHAnsi"/>
            <w:sz w:val="20"/>
            <w:szCs w:val="20"/>
          </w:rPr>
          <w:t>https://doi.org/10.3390/rs14010176</w:t>
        </w:r>
      </w:hyperlink>
    </w:p>
    <w:p w14:paraId="1582E057" w14:textId="56F93D13" w:rsidR="0018286A" w:rsidRPr="005C1394" w:rsidRDefault="0018286A" w:rsidP="0018286A">
      <w:pPr>
        <w:autoSpaceDE w:val="0"/>
        <w:autoSpaceDN w:val="0"/>
        <w:adjustRightInd w:val="0"/>
        <w:spacing w:after="0" w:line="240" w:lineRule="auto"/>
        <w:ind w:left="490" w:hangingChars="245" w:hanging="490"/>
        <w:jc w:val="both"/>
        <w:rPr>
          <w:rFonts w:cstheme="minorHAnsi"/>
          <w:noProof/>
          <w:color w:val="000000" w:themeColor="text1"/>
          <w:sz w:val="20"/>
          <w:szCs w:val="20"/>
        </w:rPr>
      </w:pPr>
      <w:r w:rsidRPr="005C1394">
        <w:rPr>
          <w:rFonts w:cstheme="minorHAnsi"/>
          <w:noProof/>
          <w:color w:val="000000" w:themeColor="text1"/>
          <w:sz w:val="20"/>
          <w:szCs w:val="20"/>
        </w:rPr>
        <w:t>[43]</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Al Mansoori, Saeed, Alavi Kunhu, and Hussain Al Ahmad. "Automatic palm trees detection from multispectral UAV data using normalized difference vegetation index and circular Hough transform." In </w:t>
      </w:r>
      <w:r w:rsidR="009C4D86" w:rsidRPr="005C1394">
        <w:rPr>
          <w:rFonts w:cstheme="minorHAnsi"/>
          <w:i/>
          <w:iCs/>
          <w:color w:val="222222"/>
          <w:sz w:val="20"/>
          <w:szCs w:val="20"/>
          <w:shd w:val="clear" w:color="auto" w:fill="FFFFFF"/>
        </w:rPr>
        <w:t>High-Performance Computing in Geoscience and Remote Sensing VIII</w:t>
      </w:r>
      <w:r w:rsidR="009C4D86" w:rsidRPr="005C1394">
        <w:rPr>
          <w:rFonts w:cstheme="minorHAnsi"/>
          <w:color w:val="222222"/>
          <w:sz w:val="20"/>
          <w:szCs w:val="20"/>
          <w:shd w:val="clear" w:color="auto" w:fill="FFFFFF"/>
        </w:rPr>
        <w:t>, vol. 10792, pp. 11-19. SPIE, 2018.</w:t>
      </w:r>
      <w:r w:rsidR="005C1394" w:rsidRPr="005C1394">
        <w:rPr>
          <w:rFonts w:cstheme="minorHAnsi"/>
          <w:sz w:val="20"/>
          <w:szCs w:val="20"/>
        </w:rPr>
        <w:t xml:space="preserve"> </w:t>
      </w:r>
      <w:hyperlink r:id="rId64" w:tgtFrame="_blank" w:history="1">
        <w:r w:rsidR="005C1394" w:rsidRPr="005C1394">
          <w:rPr>
            <w:rStyle w:val="Hyperlink"/>
            <w:rFonts w:cstheme="minorHAnsi"/>
            <w:sz w:val="20"/>
            <w:szCs w:val="20"/>
          </w:rPr>
          <w:t>https://doi.org/10.1117/12.2325732</w:t>
        </w:r>
      </w:hyperlink>
    </w:p>
    <w:p w14:paraId="58E52FF6" w14:textId="432FC95A" w:rsidR="0018286A" w:rsidRPr="005C1394" w:rsidRDefault="0018286A" w:rsidP="0018286A">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color w:val="000000" w:themeColor="text1"/>
          <w:sz w:val="20"/>
          <w:szCs w:val="20"/>
          <w:shd w:val="clear" w:color="auto" w:fill="FFFFFF"/>
        </w:rPr>
        <w:t>[44]</w:t>
      </w:r>
      <w:r w:rsidRPr="005C1394">
        <w:rPr>
          <w:rFonts w:cstheme="minorHAnsi"/>
          <w:color w:val="000000" w:themeColor="text1"/>
          <w:sz w:val="20"/>
          <w:szCs w:val="20"/>
          <w:shd w:val="clear" w:color="auto" w:fill="FFFFFF"/>
        </w:rPr>
        <w:tab/>
      </w:r>
      <w:r w:rsidR="009C4D86" w:rsidRPr="005C1394">
        <w:rPr>
          <w:rFonts w:cstheme="minorHAnsi"/>
          <w:color w:val="222222"/>
          <w:sz w:val="20"/>
          <w:szCs w:val="20"/>
          <w:shd w:val="clear" w:color="auto" w:fill="FFFFFF"/>
        </w:rPr>
        <w:t>Yang, Ziheng, Lihua Wang, Weiwei Sun, Weixin Xu, Bo Tian, Yunxuan Zhou, Gang Yang, and Chao Chen. "A new adaptive remote sensing extraction algorithm for complex muddy coast waterline." </w:t>
      </w:r>
      <w:r w:rsidR="009C4D86" w:rsidRPr="005C1394">
        <w:rPr>
          <w:rFonts w:cstheme="minorHAnsi"/>
          <w:i/>
          <w:iCs/>
          <w:color w:val="222222"/>
          <w:sz w:val="20"/>
          <w:szCs w:val="20"/>
          <w:shd w:val="clear" w:color="auto" w:fill="FFFFFF"/>
        </w:rPr>
        <w:t>Remote Sensing</w:t>
      </w:r>
      <w:r w:rsidR="009C4D86" w:rsidRPr="005C1394">
        <w:rPr>
          <w:rFonts w:cstheme="minorHAnsi"/>
          <w:color w:val="222222"/>
          <w:sz w:val="20"/>
          <w:szCs w:val="20"/>
          <w:shd w:val="clear" w:color="auto" w:fill="FFFFFF"/>
        </w:rPr>
        <w:t> 14, no. 4 (2022): 861.</w:t>
      </w:r>
      <w:r w:rsidR="005C1394" w:rsidRPr="005C1394">
        <w:rPr>
          <w:rFonts w:cstheme="minorHAnsi"/>
          <w:sz w:val="20"/>
          <w:szCs w:val="20"/>
        </w:rPr>
        <w:t xml:space="preserve"> </w:t>
      </w:r>
      <w:hyperlink r:id="rId65" w:tgtFrame="_blank" w:history="1">
        <w:r w:rsidR="005C1394" w:rsidRPr="005C1394">
          <w:rPr>
            <w:rStyle w:val="Hyperlink"/>
            <w:rFonts w:cstheme="minorHAnsi"/>
            <w:sz w:val="20"/>
            <w:szCs w:val="20"/>
          </w:rPr>
          <w:t>https://doi.org/10.3390/rs14040861</w:t>
        </w:r>
      </w:hyperlink>
    </w:p>
    <w:p w14:paraId="6B6DDFB5" w14:textId="4888AB4A" w:rsidR="0018286A" w:rsidRPr="005C1394" w:rsidRDefault="0018286A" w:rsidP="0018286A">
      <w:pPr>
        <w:autoSpaceDE w:val="0"/>
        <w:autoSpaceDN w:val="0"/>
        <w:adjustRightInd w:val="0"/>
        <w:spacing w:after="0" w:line="240" w:lineRule="auto"/>
        <w:ind w:left="490" w:hangingChars="245" w:hanging="490"/>
        <w:jc w:val="both"/>
        <w:rPr>
          <w:rFonts w:cstheme="minorHAnsi"/>
          <w:color w:val="000000" w:themeColor="text1"/>
          <w:sz w:val="20"/>
          <w:szCs w:val="20"/>
          <w:shd w:val="clear" w:color="auto" w:fill="FFFFFF"/>
        </w:rPr>
      </w:pPr>
      <w:r w:rsidRPr="005C1394">
        <w:rPr>
          <w:rFonts w:cstheme="minorHAnsi"/>
          <w:noProof/>
          <w:color w:val="000000" w:themeColor="text1"/>
          <w:sz w:val="20"/>
          <w:szCs w:val="20"/>
        </w:rPr>
        <w:t>[45]</w:t>
      </w:r>
      <w:r w:rsidRPr="005C1394">
        <w:rPr>
          <w:rFonts w:cstheme="minorHAnsi"/>
          <w:noProof/>
          <w:color w:val="000000" w:themeColor="text1"/>
          <w:sz w:val="20"/>
          <w:szCs w:val="20"/>
        </w:rPr>
        <w:tab/>
      </w:r>
      <w:r w:rsidR="009C4D86" w:rsidRPr="005C1394">
        <w:rPr>
          <w:rFonts w:cstheme="minorHAnsi"/>
          <w:color w:val="222222"/>
          <w:sz w:val="20"/>
          <w:szCs w:val="20"/>
          <w:shd w:val="clear" w:color="auto" w:fill="FFFFFF"/>
        </w:rPr>
        <w:t>Mohsen, A., M. Elshemy, and B. A. Zeidan. "Change detection for Lake Burullus, Egypt using remote sensing and GIS approaches." </w:t>
      </w:r>
      <w:r w:rsidR="009C4D86" w:rsidRPr="005C1394">
        <w:rPr>
          <w:rFonts w:cstheme="minorHAnsi"/>
          <w:i/>
          <w:iCs/>
          <w:color w:val="222222"/>
          <w:sz w:val="20"/>
          <w:szCs w:val="20"/>
          <w:shd w:val="clear" w:color="auto" w:fill="FFFFFF"/>
        </w:rPr>
        <w:t>Environmental Science and Pollution Research</w:t>
      </w:r>
      <w:r w:rsidR="009C4D86" w:rsidRPr="005C1394">
        <w:rPr>
          <w:rFonts w:cstheme="minorHAnsi"/>
          <w:color w:val="222222"/>
          <w:sz w:val="20"/>
          <w:szCs w:val="20"/>
          <w:shd w:val="clear" w:color="auto" w:fill="FFFFFF"/>
        </w:rPr>
        <w:t> 25 (2018): 30763-30771.</w:t>
      </w:r>
      <w:r w:rsidR="005C1394" w:rsidRPr="005C1394">
        <w:rPr>
          <w:rFonts w:cstheme="minorHAnsi"/>
          <w:sz w:val="20"/>
          <w:szCs w:val="20"/>
        </w:rPr>
        <w:t xml:space="preserve"> </w:t>
      </w:r>
      <w:hyperlink r:id="rId66" w:tgtFrame="_blank" w:history="1">
        <w:r w:rsidR="005C1394" w:rsidRPr="005C1394">
          <w:rPr>
            <w:rStyle w:val="Hyperlink"/>
            <w:rFonts w:cstheme="minorHAnsi"/>
            <w:sz w:val="20"/>
            <w:szCs w:val="20"/>
          </w:rPr>
          <w:t>https://doi.org/10.1007/s11356-016-8167-y</w:t>
        </w:r>
      </w:hyperlink>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6D0392BA" w14:textId="365D4108"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5C1394">
      <w:headerReference w:type="default" r:id="rId67"/>
      <w:footerReference w:type="default" r:id="rId68"/>
      <w:headerReference w:type="first" r:id="rId69"/>
      <w:footerReference w:type="first" r:id="rId70"/>
      <w:pgSz w:w="11906" w:h="16838"/>
      <w:pgMar w:top="1440" w:right="1080" w:bottom="1440" w:left="1080" w:header="576" w:footer="36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96436" w14:textId="77777777" w:rsidR="00452C95" w:rsidRDefault="00452C95" w:rsidP="00307DBE">
      <w:pPr>
        <w:spacing w:after="0" w:line="240" w:lineRule="auto"/>
      </w:pPr>
      <w:r>
        <w:separator/>
      </w:r>
    </w:p>
  </w:endnote>
  <w:endnote w:type="continuationSeparator" w:id="0">
    <w:p w14:paraId="1850E081" w14:textId="77777777" w:rsidR="00452C95" w:rsidRDefault="00452C9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7004079"/>
      <w:docPartObj>
        <w:docPartGallery w:val="Page Numbers (Bottom of Page)"/>
        <w:docPartUnique/>
      </w:docPartObj>
    </w:sdtPr>
    <w:sdtEndPr>
      <w:rPr>
        <w:noProof/>
      </w:rPr>
    </w:sdtEndPr>
    <w:sdtContent>
      <w:p w14:paraId="56F8A009" w14:textId="77777777" w:rsidR="002027A9" w:rsidRDefault="002027A9">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1B205F8D" w14:textId="77777777" w:rsidR="002027A9" w:rsidRDefault="00202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2092087"/>
      <w:docPartObj>
        <w:docPartGallery w:val="Page Numbers (Bottom of Page)"/>
        <w:docPartUnique/>
      </w:docPartObj>
    </w:sdtPr>
    <w:sdtEndPr>
      <w:rPr>
        <w:noProof/>
      </w:rPr>
    </w:sdtEndPr>
    <w:sdtContent>
      <w:p w14:paraId="42A8D865" w14:textId="77777777" w:rsidR="002027A9" w:rsidRDefault="002027A9">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62827F9E" w14:textId="77777777" w:rsidR="002027A9" w:rsidRDefault="00202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30292" w14:textId="77777777" w:rsidR="00452C95" w:rsidRDefault="00452C95" w:rsidP="00307DBE">
      <w:pPr>
        <w:spacing w:after="0" w:line="240" w:lineRule="auto"/>
      </w:pPr>
      <w:r>
        <w:separator/>
      </w:r>
    </w:p>
  </w:footnote>
  <w:footnote w:type="continuationSeparator" w:id="0">
    <w:p w14:paraId="2F651B31" w14:textId="77777777" w:rsidR="00452C95" w:rsidRDefault="00452C95" w:rsidP="00307DBE">
      <w:pPr>
        <w:spacing w:after="0" w:line="240" w:lineRule="auto"/>
      </w:pPr>
      <w:r>
        <w:continuationSeparator/>
      </w:r>
    </w:p>
  </w:footnote>
  <w:footnote w:id="1">
    <w:p w14:paraId="69ED3E69" w14:textId="77777777" w:rsidR="002C2D5C" w:rsidRPr="00CA466E" w:rsidRDefault="002C2D5C" w:rsidP="002C2D5C">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4D803310" w14:textId="77777777" w:rsidR="002C2D5C" w:rsidRDefault="002C2D5C" w:rsidP="002C2D5C">
      <w:pPr>
        <w:pStyle w:val="FootnoteText"/>
        <w:rPr>
          <w:rFonts w:asciiTheme="minorHAnsi" w:hAnsiTheme="minorHAnsi"/>
        </w:rPr>
      </w:pPr>
      <w:r w:rsidRPr="00CA466E">
        <w:rPr>
          <w:rFonts w:asciiTheme="minorHAnsi" w:hAnsiTheme="minorHAnsi"/>
          <w:i/>
          <w:iCs/>
        </w:rPr>
        <w:t xml:space="preserve">E-mail address: </w:t>
      </w:r>
      <w:r w:rsidRPr="002C2D5C">
        <w:rPr>
          <w:rFonts w:asciiTheme="minorHAnsi" w:hAnsiTheme="minorHAnsi"/>
          <w:i/>
          <w:iCs/>
        </w:rPr>
        <w:t>mfitri.kl@utm.my</w:t>
      </w:r>
    </w:p>
    <w:p w14:paraId="3DCEF80F" w14:textId="092432C6" w:rsidR="002C2D5C" w:rsidRPr="00845C89" w:rsidRDefault="002C2D5C" w:rsidP="002C2D5C">
      <w:pPr>
        <w:pStyle w:val="FootnoteText"/>
        <w:rPr>
          <w:rFonts w:cs="Times New Roman"/>
          <w:lang w:val="en-SG"/>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EC112" w14:textId="6B75CE0F" w:rsidR="002027A9" w:rsidRPr="00380ADE" w:rsidRDefault="002027A9"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8364CB">
      <w:rPr>
        <w:rFonts w:ascii="Times New Roman" w:eastAsia="Calibri" w:hAnsi="Times New Roman" w:cs="Arial"/>
        <w:i/>
        <w:iCs/>
        <w:sz w:val="16"/>
        <w:szCs w:val="14"/>
        <w:lang w:val="en-MY"/>
      </w:rPr>
      <w:t xml:space="preserve">Semarak International Journal of </w:t>
    </w:r>
    <w:r w:rsidRPr="002A7F41">
      <w:rPr>
        <w:rFonts w:ascii="Times New Roman" w:eastAsia="Calibri" w:hAnsi="Times New Roman" w:cs="Arial"/>
        <w:i/>
        <w:iCs/>
        <w:sz w:val="16"/>
        <w:szCs w:val="14"/>
        <w:lang w:val="en-MY"/>
      </w:rPr>
      <w:t>Electronic System Engineering</w:t>
    </w:r>
  </w:p>
  <w:p w14:paraId="1951AE2D" w14:textId="438EB081" w:rsidR="002027A9" w:rsidRPr="004E2831" w:rsidRDefault="002027A9"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394" w:rsidRPr="005C1394">
      <w:rPr>
        <w:rFonts w:ascii="Times New Roman" w:eastAsia="Calibri" w:hAnsi="Times New Roman" w:cs="Arial"/>
        <w:sz w:val="16"/>
        <w:szCs w:val="14"/>
        <w:lang w:val="en-GB"/>
      </w:rPr>
      <w:t>2, Issue 1 (2024) 1-15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E23B6" w14:textId="05317EF5" w:rsidR="002027A9" w:rsidRPr="003F5EA9" w:rsidRDefault="002027A9"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771046A" w14:textId="4E730A47" w:rsidR="002027A9" w:rsidRPr="003F5EA9" w:rsidRDefault="002027A9" w:rsidP="003903A5">
    <w:pPr>
      <w:tabs>
        <w:tab w:val="center" w:pos="4680"/>
        <w:tab w:val="right" w:pos="9360"/>
      </w:tabs>
      <w:spacing w:after="0" w:line="240" w:lineRule="auto"/>
      <w:jc w:val="center"/>
      <w:rPr>
        <w:rFonts w:ascii="Times New Roman" w:eastAsia="Calibri" w:hAnsi="Times New Roman" w:cs="Arial"/>
        <w:i/>
        <w:iCs/>
        <w:sz w:val="24"/>
        <w:lang w:val="en-GB"/>
      </w:rPr>
    </w:pPr>
    <w:r w:rsidRPr="008364CB">
      <w:rPr>
        <w:rFonts w:ascii="Times New Roman" w:eastAsia="Calibri" w:hAnsi="Times New Roman" w:cs="Arial"/>
        <w:i/>
        <w:iCs/>
        <w:sz w:val="16"/>
        <w:szCs w:val="14"/>
        <w:lang w:val="en-MY"/>
      </w:rPr>
      <w:t xml:space="preserve">Semarak International Journal of </w:t>
    </w:r>
    <w:r w:rsidRPr="002A7F41">
      <w:rPr>
        <w:rFonts w:ascii="Times New Roman" w:eastAsia="Calibri" w:hAnsi="Times New Roman" w:cs="Arial"/>
        <w:i/>
        <w:iCs/>
        <w:sz w:val="16"/>
        <w:szCs w:val="14"/>
        <w:lang w:val="en-MY"/>
      </w:rPr>
      <w:t>Electronic System Engineering</w:t>
    </w:r>
    <w:r w:rsidRPr="002A7F41">
      <w:rPr>
        <w:rFonts w:ascii="Times New Roman" w:eastAsia="Calibri" w:hAnsi="Times New Roman" w:cs="Arial"/>
        <w:i/>
        <w:iCs/>
        <w:sz w:val="16"/>
        <w:szCs w:val="14"/>
        <w:lang w:val="en-GB"/>
      </w:rPr>
      <w:t xml:space="preserve"> </w:t>
    </w:r>
    <w:r w:rsidR="005C1394">
      <w:rPr>
        <w:rFonts w:ascii="Times New Roman" w:eastAsia="Calibri" w:hAnsi="Times New Roman" w:cs="Arial"/>
        <w:color w:val="000000" w:themeColor="text1"/>
        <w:sz w:val="16"/>
        <w:szCs w:val="14"/>
        <w:lang w:val="en-GB"/>
      </w:rPr>
      <w:t>2</w:t>
    </w:r>
    <w:r w:rsidRPr="008B1CF6">
      <w:rPr>
        <w:rFonts w:ascii="Times New Roman" w:eastAsia="Calibri" w:hAnsi="Times New Roman" w:cs="Arial"/>
        <w:color w:val="000000" w:themeColor="text1"/>
        <w:sz w:val="16"/>
        <w:szCs w:val="14"/>
        <w:lang w:val="en-GB"/>
      </w:rPr>
      <w:t xml:space="preserve">, Issue </w:t>
    </w:r>
    <w:r w:rsidR="005C1394">
      <w:rPr>
        <w:rFonts w:ascii="Times New Roman" w:eastAsia="Calibri" w:hAnsi="Times New Roman" w:cs="Arial"/>
        <w:color w:val="000000" w:themeColor="text1"/>
        <w:sz w:val="16"/>
        <w:szCs w:val="14"/>
        <w:lang w:val="en-GB"/>
      </w:rPr>
      <w:t>1</w:t>
    </w:r>
    <w:r w:rsidRPr="008B1CF6">
      <w:rPr>
        <w:rFonts w:ascii="Times New Roman" w:eastAsia="Calibri" w:hAnsi="Times New Roman" w:cs="Arial"/>
        <w:color w:val="000000" w:themeColor="text1"/>
        <w:sz w:val="16"/>
        <w:szCs w:val="14"/>
        <w:lang w:val="en-GB"/>
      </w:rPr>
      <w:t xml:space="preserve"> (20</w:t>
    </w:r>
    <w:r>
      <w:rPr>
        <w:rFonts w:ascii="Times New Roman" w:eastAsia="Calibri" w:hAnsi="Times New Roman" w:cs="Arial"/>
        <w:color w:val="000000" w:themeColor="text1"/>
        <w:sz w:val="16"/>
        <w:szCs w:val="14"/>
        <w:lang w:val="en-GB"/>
      </w:rPr>
      <w:t>24</w:t>
    </w:r>
    <w:r w:rsidRPr="008B1CF6">
      <w:rPr>
        <w:rFonts w:ascii="Times New Roman" w:eastAsia="Calibri" w:hAnsi="Times New Roman" w:cs="Arial"/>
        <w:color w:val="000000" w:themeColor="text1"/>
        <w:sz w:val="16"/>
        <w:szCs w:val="14"/>
        <w:lang w:val="en-GB"/>
      </w:rPr>
      <w:t xml:space="preserve">) </w:t>
    </w:r>
    <w:r w:rsidR="005C1394">
      <w:rPr>
        <w:rFonts w:ascii="Times New Roman" w:eastAsia="Calibri" w:hAnsi="Times New Roman" w:cs="Arial"/>
        <w:color w:val="000000" w:themeColor="text1"/>
        <w:sz w:val="16"/>
        <w:szCs w:val="14"/>
        <w:lang w:val="en-GB"/>
      </w:rPr>
      <w:t>1-15</w:t>
    </w:r>
  </w:p>
  <w:p w14:paraId="124CBCCF" w14:textId="15610E5F" w:rsidR="002027A9" w:rsidRPr="003F5EA9" w:rsidRDefault="002027A9"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66E47FB0"/>
    <w:multiLevelType w:val="hybridMultilevel"/>
    <w:tmpl w:val="3B7C7150"/>
    <w:lvl w:ilvl="0" w:tplc="C3729AFC">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3"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4"/>
  </w:num>
  <w:num w:numId="14">
    <w:abstractNumId w:val="25"/>
  </w:num>
  <w:num w:numId="15">
    <w:abstractNumId w:val="13"/>
  </w:num>
  <w:num w:numId="16">
    <w:abstractNumId w:val="23"/>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2"/>
  </w:num>
  <w:num w:numId="24">
    <w:abstractNumId w:val="12"/>
  </w:num>
  <w:num w:numId="25">
    <w:abstractNumId w:val="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2807"/>
    <w:rsid w:val="0004570B"/>
    <w:rsid w:val="0005194E"/>
    <w:rsid w:val="00051A7A"/>
    <w:rsid w:val="00053999"/>
    <w:rsid w:val="00053A53"/>
    <w:rsid w:val="00054401"/>
    <w:rsid w:val="000574DB"/>
    <w:rsid w:val="000607C7"/>
    <w:rsid w:val="00066198"/>
    <w:rsid w:val="000675FD"/>
    <w:rsid w:val="00074F2E"/>
    <w:rsid w:val="00086424"/>
    <w:rsid w:val="0009227B"/>
    <w:rsid w:val="000927D2"/>
    <w:rsid w:val="00096A9F"/>
    <w:rsid w:val="00097BA2"/>
    <w:rsid w:val="000A099F"/>
    <w:rsid w:val="000A215F"/>
    <w:rsid w:val="000A5BEF"/>
    <w:rsid w:val="000B03ED"/>
    <w:rsid w:val="000B1EE9"/>
    <w:rsid w:val="000B33ED"/>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286A"/>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27A9"/>
    <w:rsid w:val="00210659"/>
    <w:rsid w:val="00210DE4"/>
    <w:rsid w:val="00212C72"/>
    <w:rsid w:val="00213165"/>
    <w:rsid w:val="00214388"/>
    <w:rsid w:val="00216DD8"/>
    <w:rsid w:val="00217304"/>
    <w:rsid w:val="002312A2"/>
    <w:rsid w:val="0023132F"/>
    <w:rsid w:val="002313CB"/>
    <w:rsid w:val="00235202"/>
    <w:rsid w:val="00236A8B"/>
    <w:rsid w:val="0024372F"/>
    <w:rsid w:val="00244B11"/>
    <w:rsid w:val="0024597D"/>
    <w:rsid w:val="00251E26"/>
    <w:rsid w:val="0025638A"/>
    <w:rsid w:val="00260511"/>
    <w:rsid w:val="002672E2"/>
    <w:rsid w:val="00277CDD"/>
    <w:rsid w:val="002833F4"/>
    <w:rsid w:val="002858E3"/>
    <w:rsid w:val="00293233"/>
    <w:rsid w:val="00293F43"/>
    <w:rsid w:val="0029401E"/>
    <w:rsid w:val="0029658C"/>
    <w:rsid w:val="002A1498"/>
    <w:rsid w:val="002A48FB"/>
    <w:rsid w:val="002A5B74"/>
    <w:rsid w:val="002A7584"/>
    <w:rsid w:val="002A7F41"/>
    <w:rsid w:val="002B0A2B"/>
    <w:rsid w:val="002B52C8"/>
    <w:rsid w:val="002C2A54"/>
    <w:rsid w:val="002C2D5C"/>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2EC0"/>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38C"/>
    <w:rsid w:val="00357C66"/>
    <w:rsid w:val="0036253B"/>
    <w:rsid w:val="00363E1E"/>
    <w:rsid w:val="00365031"/>
    <w:rsid w:val="00374DB7"/>
    <w:rsid w:val="00380ADE"/>
    <w:rsid w:val="00380BD5"/>
    <w:rsid w:val="00383A7A"/>
    <w:rsid w:val="00385C3A"/>
    <w:rsid w:val="00386C79"/>
    <w:rsid w:val="003903A5"/>
    <w:rsid w:val="003A055C"/>
    <w:rsid w:val="003A5B0D"/>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03D19"/>
    <w:rsid w:val="0041415B"/>
    <w:rsid w:val="00414643"/>
    <w:rsid w:val="00415DD3"/>
    <w:rsid w:val="00420736"/>
    <w:rsid w:val="004219E9"/>
    <w:rsid w:val="004243BF"/>
    <w:rsid w:val="004251DA"/>
    <w:rsid w:val="00427556"/>
    <w:rsid w:val="00427849"/>
    <w:rsid w:val="00432916"/>
    <w:rsid w:val="00432DCE"/>
    <w:rsid w:val="00444A76"/>
    <w:rsid w:val="00444AC0"/>
    <w:rsid w:val="00452C95"/>
    <w:rsid w:val="00457862"/>
    <w:rsid w:val="00463564"/>
    <w:rsid w:val="0046477A"/>
    <w:rsid w:val="004651C5"/>
    <w:rsid w:val="00466763"/>
    <w:rsid w:val="00466F1B"/>
    <w:rsid w:val="00473E67"/>
    <w:rsid w:val="00480541"/>
    <w:rsid w:val="00482C39"/>
    <w:rsid w:val="00483806"/>
    <w:rsid w:val="00485A2B"/>
    <w:rsid w:val="00486304"/>
    <w:rsid w:val="00493472"/>
    <w:rsid w:val="00493E7C"/>
    <w:rsid w:val="004951C1"/>
    <w:rsid w:val="0049671B"/>
    <w:rsid w:val="004A1184"/>
    <w:rsid w:val="004A5542"/>
    <w:rsid w:val="004B0561"/>
    <w:rsid w:val="004B36EB"/>
    <w:rsid w:val="004B3F70"/>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57DE6"/>
    <w:rsid w:val="005647D6"/>
    <w:rsid w:val="0056646B"/>
    <w:rsid w:val="00567889"/>
    <w:rsid w:val="0057093E"/>
    <w:rsid w:val="00571A12"/>
    <w:rsid w:val="005770C8"/>
    <w:rsid w:val="005775A9"/>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C1394"/>
    <w:rsid w:val="005C1422"/>
    <w:rsid w:val="005C16D2"/>
    <w:rsid w:val="005C36B3"/>
    <w:rsid w:val="005C43FD"/>
    <w:rsid w:val="005C5260"/>
    <w:rsid w:val="005C6BAD"/>
    <w:rsid w:val="005D1D71"/>
    <w:rsid w:val="005D2DB6"/>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97F9D"/>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0AD9"/>
    <w:rsid w:val="007E107A"/>
    <w:rsid w:val="007E1C12"/>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64CB"/>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2CF"/>
    <w:rsid w:val="0099295A"/>
    <w:rsid w:val="0099316A"/>
    <w:rsid w:val="00993599"/>
    <w:rsid w:val="00993A08"/>
    <w:rsid w:val="00994C57"/>
    <w:rsid w:val="00994CD5"/>
    <w:rsid w:val="009A4C33"/>
    <w:rsid w:val="009A77DB"/>
    <w:rsid w:val="009B0B52"/>
    <w:rsid w:val="009B487B"/>
    <w:rsid w:val="009B5EF6"/>
    <w:rsid w:val="009B61C6"/>
    <w:rsid w:val="009C246F"/>
    <w:rsid w:val="009C4D86"/>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310D"/>
    <w:rsid w:val="00A94B3F"/>
    <w:rsid w:val="00A95295"/>
    <w:rsid w:val="00A97E54"/>
    <w:rsid w:val="00AA5F9D"/>
    <w:rsid w:val="00AA6F6C"/>
    <w:rsid w:val="00AB3570"/>
    <w:rsid w:val="00AB44F2"/>
    <w:rsid w:val="00AC2086"/>
    <w:rsid w:val="00AC34B5"/>
    <w:rsid w:val="00AC36C3"/>
    <w:rsid w:val="00AC6105"/>
    <w:rsid w:val="00AC7755"/>
    <w:rsid w:val="00AC7AF0"/>
    <w:rsid w:val="00AD018C"/>
    <w:rsid w:val="00AD76C5"/>
    <w:rsid w:val="00AE0277"/>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28B9"/>
    <w:rsid w:val="00B44137"/>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0D9C"/>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17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093C"/>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0519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styleId="PlainTable5">
    <w:name w:val="Plain Table 5"/>
    <w:basedOn w:val="TableNormal"/>
    <w:uiPriority w:val="45"/>
    <w:rsid w:val="0024372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
    <w:name w:val="A"/>
    <w:basedOn w:val="Normal"/>
    <w:link w:val="AChar"/>
    <w:qFormat/>
    <w:rsid w:val="002027A9"/>
    <w:pPr>
      <w:spacing w:after="0" w:line="240" w:lineRule="auto"/>
      <w:ind w:firstLine="360"/>
      <w:jc w:val="both"/>
    </w:pPr>
    <w:rPr>
      <w:rFonts w:cs="Times New Roman"/>
      <w:sz w:val="24"/>
      <w:szCs w:val="24"/>
    </w:rPr>
  </w:style>
  <w:style w:type="character" w:customStyle="1" w:styleId="AChar">
    <w:name w:val="A Char"/>
    <w:basedOn w:val="DefaultParagraphFont"/>
    <w:link w:val="A"/>
    <w:rsid w:val="002027A9"/>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124695873">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doi.org/10.1016/j.culher.2020.01.002" TargetMode="External"/><Relationship Id="rId39" Type="http://schemas.openxmlformats.org/officeDocument/2006/relationships/hyperlink" Target="https://doi.org/10.1016/j.jas.2012.10.036" TargetMode="External"/><Relationship Id="rId21" Type="http://schemas.openxmlformats.org/officeDocument/2006/relationships/image" Target="media/image11.emf"/><Relationship Id="rId34" Type="http://schemas.openxmlformats.org/officeDocument/2006/relationships/hyperlink" Target="https://doi.org/10.1016/j.scitotenv.2018.11.018" TargetMode="External"/><Relationship Id="rId42" Type="http://schemas.openxmlformats.org/officeDocument/2006/relationships/hyperlink" Target="https://doi.org/10.1007/s12524-017-0659-9" TargetMode="External"/><Relationship Id="rId47" Type="http://schemas.openxmlformats.org/officeDocument/2006/relationships/hyperlink" Target="https://doi.org/10.3390/su11123339" TargetMode="External"/><Relationship Id="rId50" Type="http://schemas.openxmlformats.org/officeDocument/2006/relationships/hyperlink" Target="https://doi.org/10.1016/j.isprsjprs.2021.10.007" TargetMode="External"/><Relationship Id="rId55" Type="http://schemas.openxmlformats.org/officeDocument/2006/relationships/hyperlink" Target="https://doi.org/10.1017/S0022463400020506" TargetMode="External"/><Relationship Id="rId63" Type="http://schemas.openxmlformats.org/officeDocument/2006/relationships/hyperlink" Target="https://doi.org/10.3390/rs14010176"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080/15564894.2020.18034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hyperlink" Target="https://doi.org/10.1016/j.compag.2005.03.003" TargetMode="External"/><Relationship Id="rId37" Type="http://schemas.openxmlformats.org/officeDocument/2006/relationships/hyperlink" Target="https://doi.org/10.1007/s12665-015-5007-1" TargetMode="External"/><Relationship Id="rId40" Type="http://schemas.openxmlformats.org/officeDocument/2006/relationships/hyperlink" Target="https://doi.org/10.1016/j.jafrearsci.2022.104640" TargetMode="External"/><Relationship Id="rId45" Type="http://schemas.openxmlformats.org/officeDocument/2006/relationships/hyperlink" Target="https://doi.org/10.1002/arp.1745" TargetMode="External"/><Relationship Id="rId53" Type="http://schemas.openxmlformats.org/officeDocument/2006/relationships/hyperlink" Target="https://doi.org/10.1002/arp.1721" TargetMode="External"/><Relationship Id="rId58" Type="http://schemas.openxmlformats.org/officeDocument/2006/relationships/hyperlink" Target="https://doi.org/10.21837/pm.v14i4.167" TargetMode="External"/><Relationship Id="rId66" Type="http://schemas.openxmlformats.org/officeDocument/2006/relationships/hyperlink" Target="https://doi.org/10.1007/s11356-016-8167-y"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hyperlink" Target="https://doi.org/10.1007/s12524-021-01431-5" TargetMode="External"/><Relationship Id="rId36" Type="http://schemas.openxmlformats.org/officeDocument/2006/relationships/hyperlink" Target="https://doi.org/10.1016/j.jas.2012.11.001" TargetMode="External"/><Relationship Id="rId49" Type="http://schemas.openxmlformats.org/officeDocument/2006/relationships/hyperlink" Target="https://doi.org/10.3390/drones3010007" TargetMode="External"/><Relationship Id="rId57" Type="http://schemas.openxmlformats.org/officeDocument/2006/relationships/hyperlink" Target="https://doi.org/10.1007/978-3-642-34234-9_13" TargetMode="External"/><Relationship Id="rId61" Type="http://schemas.openxmlformats.org/officeDocument/2006/relationships/hyperlink" Target="https://doi.org/10.3390/rs14040959" TargetMode="Externa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hyperlink" Target="https://doi.org/10.1016/j.isprsjprs.2018.11.020" TargetMode="External"/><Relationship Id="rId44" Type="http://schemas.openxmlformats.org/officeDocument/2006/relationships/hyperlink" Target="https://doi.org/10.1080/22797254.2019.1625075" TargetMode="External"/><Relationship Id="rId52" Type="http://schemas.openxmlformats.org/officeDocument/2006/relationships/hyperlink" Target="https://doi.org/10.1016/j.rse.2019.111280" TargetMode="External"/><Relationship Id="rId60" Type="http://schemas.openxmlformats.org/officeDocument/2006/relationships/hyperlink" Target="https://doi.org/10.1002/arp.420" TargetMode="External"/><Relationship Id="rId65" Type="http://schemas.openxmlformats.org/officeDocument/2006/relationships/hyperlink" Target="https://doi.org/10.3390/rs140408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hyperlink" Target="https://doi.org/10.1088/1755-1315/540/1/012013" TargetMode="External"/><Relationship Id="rId30" Type="http://schemas.openxmlformats.org/officeDocument/2006/relationships/hyperlink" Target="https://doi.org/10.1371/journal.pone.0218132" TargetMode="External"/><Relationship Id="rId35" Type="http://schemas.openxmlformats.org/officeDocument/2006/relationships/hyperlink" Target="https://doi.org/10.3390/geosciences7020040" TargetMode="External"/><Relationship Id="rId43" Type="http://schemas.openxmlformats.org/officeDocument/2006/relationships/hyperlink" Target="https://doi.org/10.1515/ata-2016-0015" TargetMode="External"/><Relationship Id="rId48" Type="http://schemas.openxmlformats.org/officeDocument/2006/relationships/hyperlink" Target="https://doi.org/10.3390/rs11060725" TargetMode="External"/><Relationship Id="rId56" Type="http://schemas.openxmlformats.org/officeDocument/2006/relationships/hyperlink" Target="https://doi.org/10.1016/0743-9547(96)00042-6" TargetMode="External"/><Relationship Id="rId64" Type="http://schemas.openxmlformats.org/officeDocument/2006/relationships/hyperlink" Target="https://doi.org/10.1117/12.2325732" TargetMode="Externa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doi.org/10.1155/2020/5060969"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hyperlink" Target="https://doi.org/10.1016/j.jasrep.2020.102553" TargetMode="External"/><Relationship Id="rId33" Type="http://schemas.openxmlformats.org/officeDocument/2006/relationships/hyperlink" Target="https://doi.org/10.1016/j.jas.2011.02.002" TargetMode="External"/><Relationship Id="rId38" Type="http://schemas.openxmlformats.org/officeDocument/2006/relationships/hyperlink" Target="https://doi.org/10.1007/s10712-018-9494-y" TargetMode="External"/><Relationship Id="rId46" Type="http://schemas.openxmlformats.org/officeDocument/2006/relationships/hyperlink" Target="https://doi.org/10.4236/ars.2016.51003" TargetMode="External"/><Relationship Id="rId59" Type="http://schemas.openxmlformats.org/officeDocument/2006/relationships/hyperlink" Target="https://doi.org/10.3390/rs8110918" TargetMode="External"/><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doi.org/10.3390/app9235234" TargetMode="External"/><Relationship Id="rId54" Type="http://schemas.openxmlformats.org/officeDocument/2006/relationships/hyperlink" Target="https://doi.org/10.1007/s12524-021-01431-5" TargetMode="External"/><Relationship Id="rId62" Type="http://schemas.openxmlformats.org/officeDocument/2006/relationships/hyperlink" Target="https://doi.org/10.1016/S0176-1617(96)80284-7" TargetMode="External"/><Relationship Id="rId7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airatul%20akma\Desktop\Drp%20D\akma%20sg%20batu\ANALYSIS%20SPECTRAL\constant%20test%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en-US" sz="1300"/>
              <a:t>Constant Experimental Evaluation</a:t>
            </a:r>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smoothMarker"/>
        <c:varyColors val="0"/>
        <c:ser>
          <c:idx val="0"/>
          <c:order val="0"/>
          <c:tx>
            <c:strRef>
              <c:f>Sheet1!$B$37</c:f>
              <c:strCache>
                <c:ptCount val="1"/>
                <c:pt idx="0">
                  <c:v>0% (control)</c:v>
                </c:pt>
              </c:strCache>
            </c:strRef>
          </c:tx>
          <c:spPr>
            <a:ln w="25400" cap="flat" cmpd="dbl" algn="ctr">
              <a:solidFill>
                <a:schemeClr val="tx2">
                  <a:alpha val="93000"/>
                </a:schemeClr>
              </a:solidFill>
              <a:round/>
            </a:ln>
            <a:effectLst/>
          </c:spPr>
          <c:marker>
            <c:symbol val="circle"/>
            <c:size val="6"/>
            <c:spPr>
              <a:noFill/>
              <a:ln w="34925" cap="flat" cmpd="dbl" algn="ctr">
                <a:solidFill>
                  <a:schemeClr val="accent1">
                    <a:lumMod val="75000"/>
                    <a:alpha val="70000"/>
                  </a:schemeClr>
                </a:solidFill>
                <a:round/>
              </a:ln>
              <a:effectLst/>
            </c:spPr>
          </c:marker>
          <c:trendline>
            <c:spPr>
              <a:ln w="38100" cap="rnd" cmpd="sng" algn="ctr">
                <a:solidFill>
                  <a:schemeClr val="accent1">
                    <a:lumMod val="75000"/>
                    <a:alpha val="43000"/>
                  </a:schemeClr>
                </a:solidFill>
                <a:prstDash val="dash"/>
                <a:round/>
              </a:ln>
              <a:effectLst/>
            </c:spPr>
            <c:trendlineType val="linear"/>
            <c:dispRSqr val="1"/>
            <c:dispEq val="1"/>
            <c:trendlineLbl>
              <c:layout>
                <c:manualLayout>
                  <c:x val="-8.0698694260654361E-2"/>
                  <c:y val="-7.1808047213037865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strRef>
              <c:f>Sheet1!$C$36:$F$36</c:f>
              <c:strCache>
                <c:ptCount val="4"/>
                <c:pt idx="0">
                  <c:v>NDVI</c:v>
                </c:pt>
                <c:pt idx="1">
                  <c:v>DVI</c:v>
                </c:pt>
                <c:pt idx="2">
                  <c:v>RDVI</c:v>
                </c:pt>
                <c:pt idx="3">
                  <c:v>MSAVI</c:v>
                </c:pt>
              </c:strCache>
            </c:strRef>
          </c:xVal>
          <c:yVal>
            <c:numRef>
              <c:f>Sheet1!$C$37:$F$37</c:f>
              <c:numCache>
                <c:formatCode>General</c:formatCode>
                <c:ptCount val="4"/>
                <c:pt idx="0">
                  <c:v>0.111</c:v>
                </c:pt>
                <c:pt idx="1">
                  <c:v>0.16500000000000001</c:v>
                </c:pt>
                <c:pt idx="2">
                  <c:v>0.13500000000000001</c:v>
                </c:pt>
                <c:pt idx="3">
                  <c:v>-3.81</c:v>
                </c:pt>
              </c:numCache>
            </c:numRef>
          </c:yVal>
          <c:smooth val="1"/>
          <c:extLst>
            <c:ext xmlns:c16="http://schemas.microsoft.com/office/drawing/2014/chart" uri="{C3380CC4-5D6E-409C-BE32-E72D297353CC}">
              <c16:uniqueId val="{00000001-6FDD-4168-89FA-BDA4CDA5DB24}"/>
            </c:ext>
          </c:extLst>
        </c:ser>
        <c:ser>
          <c:idx val="1"/>
          <c:order val="1"/>
          <c:tx>
            <c:strRef>
              <c:f>Sheet1!$B$38</c:f>
              <c:strCache>
                <c:ptCount val="1"/>
                <c:pt idx="0">
                  <c:v>x50%</c:v>
                </c:pt>
              </c:strCache>
            </c:strRef>
          </c:tx>
          <c:spPr>
            <a:ln w="25400" cap="flat" cmpd="dbl" algn="ctr">
              <a:solidFill>
                <a:schemeClr val="accent2"/>
              </a:solidFill>
              <a:round/>
            </a:ln>
            <a:effectLst/>
          </c:spPr>
          <c:marker>
            <c:symbol val="circle"/>
            <c:size val="6"/>
            <c:spPr>
              <a:noFill/>
              <a:ln w="34925" cap="flat" cmpd="dbl" algn="ctr">
                <a:solidFill>
                  <a:schemeClr val="accent2">
                    <a:lumMod val="75000"/>
                    <a:alpha val="70000"/>
                  </a:schemeClr>
                </a:solidFill>
                <a:round/>
              </a:ln>
              <a:effectLst/>
            </c:spPr>
          </c:marker>
          <c:trendline>
            <c:spPr>
              <a:ln w="38100" cap="rnd" cmpd="sng" algn="ctr">
                <a:solidFill>
                  <a:schemeClr val="accent2">
                    <a:alpha val="47000"/>
                  </a:schemeClr>
                </a:solidFill>
                <a:prstDash val="dash"/>
                <a:round/>
              </a:ln>
              <a:effectLst/>
            </c:spPr>
            <c:trendlineType val="linear"/>
            <c:dispRSqr val="1"/>
            <c:dispEq val="1"/>
            <c:trendlineLbl>
              <c:layout>
                <c:manualLayout>
                  <c:x val="3.0951642737602397E-2"/>
                  <c:y val="-7.910053999620628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y = 0.0218x + 0.031</a:t>
                    </a:r>
                    <a:br>
                      <a:rPr lang="en-US"/>
                    </a:br>
                    <a:r>
                      <a:rPr lang="en-US"/>
                      <a:t>R² = 0.86</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x"/>
            <c:errBarType val="both"/>
            <c:errValType val="stdErr"/>
            <c:noEndCap val="0"/>
            <c:spPr>
              <a:noFill/>
              <a:ln w="9525">
                <a:solidFill>
                  <a:schemeClr val="tx1">
                    <a:lumMod val="50000"/>
                    <a:lumOff val="50000"/>
                  </a:schemeClr>
                </a:solidFill>
                <a:round/>
              </a:ln>
              <a:effectLst/>
            </c:spPr>
          </c:errBars>
          <c:errBars>
            <c:errDir val="y"/>
            <c:errBarType val="both"/>
            <c:errValType val="stdErr"/>
            <c:noEndCap val="0"/>
            <c:spPr>
              <a:noFill/>
              <a:ln w="9525">
                <a:solidFill>
                  <a:schemeClr val="tx1">
                    <a:lumMod val="50000"/>
                    <a:lumOff val="50000"/>
                  </a:schemeClr>
                </a:solidFill>
                <a:round/>
              </a:ln>
              <a:effectLst/>
            </c:spPr>
          </c:errBars>
          <c:xVal>
            <c:strRef>
              <c:f>Sheet1!$C$36:$F$36</c:f>
              <c:strCache>
                <c:ptCount val="4"/>
                <c:pt idx="0">
                  <c:v>NDVI</c:v>
                </c:pt>
                <c:pt idx="1">
                  <c:v>DVI</c:v>
                </c:pt>
                <c:pt idx="2">
                  <c:v>RDVI</c:v>
                </c:pt>
                <c:pt idx="3">
                  <c:v>MSAVI</c:v>
                </c:pt>
              </c:strCache>
            </c:strRef>
          </c:xVal>
          <c:yVal>
            <c:numRef>
              <c:f>Sheet1!$C$38:$F$38</c:f>
              <c:numCache>
                <c:formatCode>General</c:formatCode>
                <c:ptCount val="4"/>
                <c:pt idx="0">
                  <c:v>5.5500000000000001E-2</c:v>
                </c:pt>
                <c:pt idx="1">
                  <c:v>7.8E-2</c:v>
                </c:pt>
                <c:pt idx="2">
                  <c:v>6.6000000000000003E-2</c:v>
                </c:pt>
                <c:pt idx="3">
                  <c:v>0.128</c:v>
                </c:pt>
              </c:numCache>
            </c:numRef>
          </c:yVal>
          <c:smooth val="1"/>
          <c:extLst>
            <c:ext xmlns:c16="http://schemas.microsoft.com/office/drawing/2014/chart" uri="{C3380CC4-5D6E-409C-BE32-E72D297353CC}">
              <c16:uniqueId val="{00000003-6FDD-4168-89FA-BDA4CDA5DB24}"/>
            </c:ext>
          </c:extLst>
        </c:ser>
        <c:dLbls>
          <c:showLegendKey val="0"/>
          <c:showVal val="0"/>
          <c:showCatName val="0"/>
          <c:showSerName val="0"/>
          <c:showPercent val="0"/>
          <c:showBubbleSize val="0"/>
        </c:dLbls>
        <c:axId val="922329023"/>
        <c:axId val="922335679"/>
      </c:scatterChart>
      <c:valAx>
        <c:axId val="922329023"/>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VI AlgorithmS</a:t>
                </a:r>
              </a:p>
            </c:rich>
          </c:tx>
          <c:layout>
            <c:manualLayout>
              <c:xMode val="edge"/>
              <c:yMode val="edge"/>
              <c:x val="0.44794064203513034"/>
              <c:y val="0.9098413188547509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335679"/>
        <c:crosses val="autoZero"/>
        <c:crossBetween val="midCat"/>
      </c:valAx>
      <c:valAx>
        <c:axId val="92233567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Spectral Value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329023"/>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FCB6F-57E6-4550-B6C9-0E4157655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23291</Words>
  <Characters>132765</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Nur hazirah</cp:lastModifiedBy>
  <cp:revision>5</cp:revision>
  <cp:lastPrinted>2024-06-25T02:28:00Z</cp:lastPrinted>
  <dcterms:created xsi:type="dcterms:W3CDTF">2024-06-14T08:26:00Z</dcterms:created>
  <dcterms:modified xsi:type="dcterms:W3CDTF">2024-06-25T02:35:00Z</dcterms:modified>
</cp:coreProperties>
</file>